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w:t>
      </w:r>
      <w:r>
        <w:rPr>
          <w:rFonts w:hint="eastAsia" w:ascii="Arial" w:hAnsi="Arial" w:cs="Arial"/>
          <w:b/>
          <w:sz w:val="24"/>
          <w:szCs w:val="24"/>
        </w:rPr>
        <w:t xml:space="preserve">                            R4-2402514</w:t>
      </w:r>
      <w:bookmarkStart w:id="101" w:name="_GoBack"/>
      <w:bookmarkEnd w:id="101"/>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hint="eastAsia" w:ascii="Arial" w:hAnsi="Arial" w:cs="Arial"/>
          <w:b/>
          <w:sz w:val="24"/>
          <w:szCs w:val="24"/>
          <w:lang w:val="en-US" w:eastAsia="zh-CN"/>
        </w:rPr>
        <w:t>Athens</w:t>
      </w:r>
      <w:r>
        <w:rPr>
          <w:rFonts w:ascii="Arial" w:hAnsi="Arial" w:cs="Arial"/>
          <w:b/>
          <w:sz w:val="24"/>
          <w:szCs w:val="24"/>
        </w:rPr>
        <w:t xml:space="preserve">, </w:t>
      </w:r>
      <w:r>
        <w:rPr>
          <w:rFonts w:hint="eastAsia" w:ascii="Arial" w:hAnsi="Arial" w:cs="Arial"/>
          <w:b/>
          <w:sz w:val="24"/>
          <w:szCs w:val="24"/>
          <w:lang w:val="en-US" w:eastAsia="zh-CN"/>
        </w:rPr>
        <w:t>Greece</w:t>
      </w:r>
      <w:r>
        <w:rPr>
          <w:rFonts w:ascii="Arial" w:hAnsi="Arial" w:cs="Arial"/>
          <w:b/>
          <w:sz w:val="24"/>
          <w:szCs w:val="24"/>
        </w:rPr>
        <w:t xml:space="preserve">, </w:t>
      </w:r>
      <w:r>
        <w:rPr>
          <w:rFonts w:hint="eastAsia" w:ascii="Arial" w:hAnsi="Arial" w:cs="Arial"/>
          <w:b/>
          <w:sz w:val="24"/>
          <w:szCs w:val="24"/>
          <w:lang w:val="en-US" w:eastAsia="zh-CN"/>
        </w:rPr>
        <w:t>Feb</w:t>
      </w:r>
      <w:r>
        <w:rPr>
          <w:rFonts w:ascii="Arial" w:hAnsi="Arial" w:cs="Arial"/>
          <w:b/>
          <w:sz w:val="24"/>
          <w:szCs w:val="24"/>
        </w:rPr>
        <w:t xml:space="preserve"> </w:t>
      </w:r>
      <w:r>
        <w:rPr>
          <w:rFonts w:hint="eastAsia" w:ascii="Arial" w:hAnsi="Arial" w:cs="Arial"/>
          <w:b/>
          <w:sz w:val="24"/>
          <w:szCs w:val="24"/>
          <w:lang w:val="en-US" w:eastAsia="zh-CN"/>
        </w:rPr>
        <w:t>26</w:t>
      </w:r>
      <w:r>
        <w:rPr>
          <w:rFonts w:ascii="Arial" w:hAnsi="Arial" w:cs="Arial"/>
          <w:b/>
          <w:sz w:val="24"/>
          <w:szCs w:val="24"/>
        </w:rPr>
        <w:t xml:space="preserve"> – </w:t>
      </w:r>
      <w:r>
        <w:rPr>
          <w:rFonts w:hint="eastAsia" w:ascii="Arial" w:hAnsi="Arial" w:cs="Arial"/>
          <w:b/>
          <w:sz w:val="24"/>
          <w:szCs w:val="24"/>
          <w:lang w:val="en-US" w:eastAsia="zh-CN"/>
        </w:rPr>
        <w:t xml:space="preserve">Mar </w:t>
      </w:r>
      <w:r>
        <w:rPr>
          <w:rFonts w:ascii="Arial" w:hAnsi="Arial" w:cs="Arial"/>
          <w:b/>
          <w:sz w:val="24"/>
          <w:szCs w:val="24"/>
        </w:rPr>
        <w:t>1</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Further d</w:t>
      </w:r>
      <w:r>
        <w:rPr>
          <w:rFonts w:hint="eastAsia" w:ascii="Arial" w:hAnsi="Arial" w:cs="Arial"/>
          <w:b/>
          <w:sz w:val="24"/>
          <w:szCs w:val="24"/>
        </w:rPr>
        <w:t>iscussion on conformance testing requirement for NCR</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latest RAN#97e meeting, the work item [</w:t>
      </w:r>
      <w:r>
        <w:rPr>
          <w:rFonts w:hint="eastAsia"/>
          <w:sz w:val="20"/>
          <w:szCs w:val="20"/>
        </w:rPr>
        <w:t>RP-222673</w:t>
      </w:r>
      <w:r>
        <w:rPr>
          <w:rFonts w:hint="eastAsia"/>
          <w:sz w:val="20"/>
        </w:rPr>
        <w:t xml:space="preserve">] on NR network-controlled </w:t>
      </w:r>
      <w:r>
        <w:rPr>
          <w:rFonts w:hint="eastAsia"/>
          <w:sz w:val="20"/>
          <w:lang w:eastAsia="zh-CN"/>
        </w:rPr>
        <w:t>NCR</w:t>
      </w:r>
      <w:r>
        <w:rPr>
          <w:rFonts w:hint="eastAsia"/>
          <w:sz w:val="20"/>
        </w:rPr>
        <w:t xml:space="preserve"> was approved after the completion of study item phase led by RAN1. In last RAN4 meeting, we have some initial discussions for NCR conformance testing and we reached on agreement in WF [14]. In this contribution, we want to share some further views on conformance testing requirement for NCR in Rel-18.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rPr>
            </w:pPr>
            <w:r>
              <w:rPr>
                <w:rFonts w:hint="eastAsia"/>
                <w:b/>
                <w:u w:val="single"/>
              </w:rPr>
              <w:t>RAN4#107 Agreement</w:t>
            </w:r>
          </w:p>
          <w:p>
            <w:pPr>
              <w:rPr>
                <w:b/>
                <w:u w:val="single"/>
              </w:rPr>
            </w:pPr>
            <w:r>
              <w:rPr>
                <w:b/>
                <w:u w:val="single"/>
              </w:rPr>
              <w:t xml:space="preserve">Issue 1-1: </w:t>
            </w:r>
            <w:r>
              <w:rPr>
                <w:rFonts w:hint="eastAsia"/>
                <w:b/>
                <w:u w:val="single"/>
              </w:rPr>
              <w:t>Downlink test for NCR-MT and NCR-Fwd</w:t>
            </w:r>
          </w:p>
          <w:p>
            <w:pPr>
              <w:pStyle w:val="33"/>
              <w:numPr>
                <w:ilvl w:val="0"/>
                <w:numId w:val="2"/>
              </w:numPr>
              <w:ind w:firstLineChars="0"/>
            </w:pPr>
            <w:r>
              <w:t>For downlink, test NCR-MT RX requirements and NCR-Fwd requirements separately.</w:t>
            </w:r>
          </w:p>
          <w:p>
            <w:pPr>
              <w:pStyle w:val="33"/>
              <w:numPr>
                <w:ilvl w:val="0"/>
                <w:numId w:val="2"/>
              </w:numPr>
              <w:ind w:firstLineChars="0"/>
            </w:pPr>
            <w:r>
              <w:t>Develop both separate and joint test conditions for NCR-Fwd and NCR-MT for UL</w:t>
            </w:r>
          </w:p>
          <w:p>
            <w:pPr>
              <w:rPr>
                <w:b/>
                <w:u w:val="single"/>
                <w:lang w:eastAsia="ko-KR"/>
              </w:rPr>
            </w:pPr>
            <w:r>
              <w:rPr>
                <w:b/>
                <w:u w:val="single"/>
              </w:rPr>
              <w:t xml:space="preserve">Issue 2-1: </w:t>
            </w:r>
            <w:r>
              <w:rPr>
                <w:rFonts w:hint="eastAsia"/>
                <w:b/>
                <w:u w:val="single"/>
              </w:rPr>
              <w:t>NCR-</w:t>
            </w:r>
            <w:r>
              <w:rPr>
                <w:b/>
                <w:u w:val="single"/>
              </w:rPr>
              <w:t xml:space="preserve">Fwd </w:t>
            </w:r>
            <w:r>
              <w:rPr>
                <w:rFonts w:hint="eastAsia"/>
                <w:b/>
                <w:u w:val="single"/>
              </w:rPr>
              <w:t>m</w:t>
            </w:r>
            <w:r>
              <w:rPr>
                <w:b/>
                <w:u w:val="single"/>
              </w:rPr>
              <w:t xml:space="preserve">anufacturer </w:t>
            </w:r>
            <w:r>
              <w:rPr>
                <w:rFonts w:hint="eastAsia"/>
                <w:b/>
                <w:u w:val="single"/>
              </w:rPr>
              <w:t>declarations</w:t>
            </w:r>
            <w:r>
              <w:rPr>
                <w:b/>
              </w:rPr>
              <w:t xml:space="preserve"> and </w:t>
            </w:r>
            <w:r>
              <w:rPr>
                <w:b/>
                <w:u w:val="single"/>
                <w:lang w:eastAsia="ko-KR"/>
              </w:rPr>
              <w:t>Issue 2-2: NCR-</w:t>
            </w:r>
            <w:r>
              <w:rPr>
                <w:b/>
                <w:u w:val="single"/>
              </w:rPr>
              <w:t xml:space="preserve">MT </w:t>
            </w:r>
            <w:r>
              <w:rPr>
                <w:b/>
                <w:u w:val="single"/>
                <w:lang w:eastAsia="ko-KR"/>
              </w:rPr>
              <w:t>manufacturer declarations</w:t>
            </w:r>
          </w:p>
          <w:p>
            <w:pPr>
              <w:pStyle w:val="33"/>
              <w:numPr>
                <w:ilvl w:val="0"/>
                <w:numId w:val="2"/>
              </w:numPr>
              <w:ind w:firstLineChars="0"/>
              <w:rPr>
                <w:b/>
                <w:u w:val="single"/>
              </w:rPr>
            </w:pPr>
            <w:r>
              <w:t>Postpone the decision/discussion on manufacture declaration to future RAN4 meetings.</w:t>
            </w:r>
          </w:p>
          <w:p>
            <w:pPr>
              <w:rPr>
                <w:b/>
                <w:u w:val="single"/>
              </w:rPr>
            </w:pPr>
            <w:r>
              <w:rPr>
                <w:b/>
                <w:u w:val="single"/>
              </w:rPr>
              <w:t xml:space="preserve">Issue </w:t>
            </w:r>
            <w:r>
              <w:rPr>
                <w:rFonts w:hint="eastAsia"/>
                <w:b/>
                <w:u w:val="single"/>
              </w:rPr>
              <w:t>3</w:t>
            </w:r>
            <w:r>
              <w:rPr>
                <w:b/>
                <w:u w:val="single"/>
              </w:rPr>
              <w:t>-1: NCR-MT test model</w:t>
            </w:r>
          </w:p>
          <w:p>
            <w:pPr>
              <w:pStyle w:val="33"/>
              <w:numPr>
                <w:ilvl w:val="0"/>
                <w:numId w:val="2"/>
              </w:numPr>
              <w:ind w:firstLineChars="0"/>
            </w:pPr>
            <w:r>
              <w:t>For test model for NCR-MT, propose to use the Rel-16 IAB-MT test model as starting point for further study.</w:t>
            </w:r>
          </w:p>
          <w:p>
            <w:pPr>
              <w:rPr>
                <w:b/>
                <w:u w:val="single"/>
              </w:rPr>
            </w:pPr>
            <w:r>
              <w:rPr>
                <w:b/>
                <w:u w:val="single"/>
              </w:rPr>
              <w:t xml:space="preserve">Issue </w:t>
            </w:r>
            <w:r>
              <w:rPr>
                <w:rFonts w:hint="eastAsia"/>
                <w:b/>
                <w:u w:val="single"/>
              </w:rPr>
              <w:t>4</w:t>
            </w:r>
            <w:r>
              <w:rPr>
                <w:b/>
                <w:u w:val="single"/>
              </w:rPr>
              <w:t>-2: NCR-MT measurement setup</w:t>
            </w:r>
          </w:p>
          <w:p>
            <w:r>
              <w:t>No agreements.</w:t>
            </w:r>
          </w:p>
          <w:p>
            <w:pPr>
              <w:rPr>
                <w:b/>
                <w:u w:val="single"/>
              </w:rPr>
            </w:pPr>
            <w:r>
              <w:rPr>
                <w:b/>
                <w:u w:val="single"/>
              </w:rPr>
              <w:t xml:space="preserve">Issue </w:t>
            </w:r>
            <w:r>
              <w:rPr>
                <w:rFonts w:hint="eastAsia"/>
                <w:b/>
                <w:u w:val="single"/>
              </w:rPr>
              <w:t>4</w:t>
            </w:r>
            <w:r>
              <w:rPr>
                <w:b/>
                <w:u w:val="single"/>
              </w:rPr>
              <w:t>-3: How to provide the necessary control for NCR Fwd</w:t>
            </w:r>
          </w:p>
          <w:p>
            <w:pPr>
              <w:pStyle w:val="33"/>
              <w:widowControl/>
              <w:numPr>
                <w:ilvl w:val="0"/>
                <w:numId w:val="2"/>
              </w:numPr>
              <w:spacing w:after="120" w:line="240" w:lineRule="auto"/>
              <w:ind w:firstLineChars="0"/>
              <w:jc w:val="left"/>
            </w:pPr>
            <w:r>
              <w:t xml:space="preserve">For conformance testing, leave the control for NC </w:t>
            </w:r>
            <w:r>
              <w:rPr>
                <w:rFonts w:hint="eastAsia"/>
                <w:lang w:eastAsia="zh-CN"/>
              </w:rPr>
              <w:t>NCR</w:t>
            </w:r>
            <w:r>
              <w:t xml:space="preserve"> for test system implementation with below optional approach:</w:t>
            </w:r>
          </w:p>
          <w:p>
            <w:pPr>
              <w:pStyle w:val="33"/>
              <w:widowControl/>
              <w:numPr>
                <w:ilvl w:val="1"/>
                <w:numId w:val="2"/>
              </w:numPr>
              <w:spacing w:after="120" w:line="240" w:lineRule="auto"/>
              <w:ind w:firstLineChars="0"/>
              <w:jc w:val="left"/>
            </w:pPr>
            <w:r>
              <w:t xml:space="preserve">C-link </w:t>
            </w:r>
          </w:p>
          <w:p>
            <w:pPr>
              <w:pStyle w:val="33"/>
              <w:widowControl/>
              <w:numPr>
                <w:ilvl w:val="1"/>
                <w:numId w:val="2"/>
              </w:numPr>
              <w:spacing w:after="120" w:line="240" w:lineRule="auto"/>
              <w:ind w:firstLineChars="0"/>
              <w:rPr>
                <w:lang w:val="en-GB"/>
              </w:rPr>
            </w:pPr>
            <w:r>
              <w:t>BS approach</w:t>
            </w:r>
          </w:p>
          <w:p>
            <w:pPr>
              <w:spacing w:after="0" w:line="240" w:lineRule="auto"/>
              <w:jc w:val="left"/>
              <w:rPr>
                <w:sz w:val="20"/>
              </w:rPr>
            </w:pPr>
            <w:r>
              <w:rPr>
                <w:rFonts w:hint="eastAsia"/>
                <w:b/>
                <w:u w:val="single"/>
              </w:rPr>
              <w:t>RAN4#108 Agreement</w:t>
            </w:r>
          </w:p>
          <w:p>
            <w:pPr>
              <w:rPr>
                <w:b/>
                <w:u w:val="single"/>
              </w:rPr>
            </w:pPr>
            <w:r>
              <w:rPr>
                <w:b/>
                <w:u w:val="single"/>
              </w:rPr>
              <w:t xml:space="preserve">Issue 1-1: </w:t>
            </w:r>
            <w:r>
              <w:rPr>
                <w:rFonts w:hint="eastAsia"/>
                <w:b/>
                <w:u w:val="single"/>
              </w:rPr>
              <w:t>Mixed type introduction</w:t>
            </w:r>
          </w:p>
          <w:p>
            <w:pPr>
              <w:pStyle w:val="33"/>
              <w:widowControl/>
              <w:numPr>
                <w:ilvl w:val="0"/>
                <w:numId w:val="2"/>
              </w:numPr>
              <w:spacing w:after="120" w:line="240" w:lineRule="auto"/>
              <w:ind w:left="720" w:firstLineChars="0"/>
              <w:jc w:val="left"/>
            </w:pPr>
            <w:r>
              <w:t>Agreement:</w:t>
            </w:r>
          </w:p>
          <w:p>
            <w:pPr>
              <w:pStyle w:val="33"/>
              <w:widowControl/>
              <w:numPr>
                <w:ilvl w:val="1"/>
                <w:numId w:val="2"/>
              </w:numPr>
              <w:spacing w:after="120" w:line="240" w:lineRule="auto"/>
              <w:ind w:left="1352" w:firstLineChars="0"/>
              <w:jc w:val="left"/>
              <w:rPr>
                <w:i/>
              </w:rPr>
            </w:pPr>
            <w:r>
              <w:rPr>
                <w:rFonts w:eastAsiaTheme="minorEastAsia"/>
                <w:sz w:val="22"/>
              </w:rPr>
              <w:t>FFS how to address conformance testing for mixed typce 1-C and 1-</w:t>
            </w:r>
            <w:r>
              <w:rPr>
                <w:rFonts w:hint="eastAsia" w:eastAsiaTheme="minorEastAsia"/>
                <w:sz w:val="22"/>
              </w:rPr>
              <w:t>H and/or mixed type 1-C and 1-O</w:t>
            </w:r>
            <w:r>
              <w:rPr>
                <w:rFonts w:eastAsiaTheme="minorEastAsia"/>
                <w:sz w:val="22"/>
              </w:rPr>
              <w:t>.</w:t>
            </w:r>
          </w:p>
          <w:p>
            <w:pPr>
              <w:rPr>
                <w:b/>
                <w:u w:val="single"/>
              </w:rPr>
            </w:pPr>
            <w:r>
              <w:rPr>
                <w:b/>
                <w:u w:val="single"/>
              </w:rPr>
              <w:t>Issue 1-</w:t>
            </w:r>
            <w:r>
              <w:rPr>
                <w:rFonts w:hint="eastAsia"/>
                <w:b/>
                <w:u w:val="single"/>
              </w:rPr>
              <w:t>2</w:t>
            </w:r>
            <w:r>
              <w:rPr>
                <w:b/>
                <w:u w:val="single"/>
              </w:rPr>
              <w:t xml:space="preserve">: </w:t>
            </w:r>
            <w:r>
              <w:rPr>
                <w:rFonts w:hint="eastAsia"/>
                <w:b/>
                <w:u w:val="single"/>
              </w:rPr>
              <w:t xml:space="preserve">Simultaneous UL for NCR </w:t>
            </w:r>
            <w:r>
              <w:rPr>
                <w:b/>
                <w:u w:val="single"/>
              </w:rPr>
              <w:t>–</w:t>
            </w:r>
            <w:r>
              <w:rPr>
                <w:rFonts w:hint="eastAsia"/>
                <w:b/>
                <w:u w:val="single"/>
              </w:rPr>
              <w:t>Fwd and NCR-MT</w:t>
            </w:r>
          </w:p>
          <w:p>
            <w:pPr>
              <w:pStyle w:val="33"/>
              <w:widowControl/>
              <w:numPr>
                <w:ilvl w:val="0"/>
                <w:numId w:val="2"/>
              </w:numPr>
              <w:spacing w:after="120" w:line="240" w:lineRule="auto"/>
              <w:ind w:left="720" w:firstLineChars="0"/>
              <w:jc w:val="left"/>
            </w:pPr>
            <w:r>
              <w:t>Agreement:</w:t>
            </w:r>
          </w:p>
          <w:p>
            <w:pPr>
              <w:pStyle w:val="33"/>
              <w:widowControl/>
              <w:numPr>
                <w:ilvl w:val="1"/>
                <w:numId w:val="2"/>
              </w:numPr>
              <w:spacing w:after="120" w:line="240" w:lineRule="auto"/>
              <w:ind w:firstLineChars="0"/>
              <w:jc w:val="left"/>
            </w:pPr>
            <w:r>
              <w:t xml:space="preserve">Whether NCR supporting NCR-Fwd and NCR-MT simultaneous transmission is manufacture declaration basis. </w:t>
            </w:r>
          </w:p>
          <w:p>
            <w:pPr>
              <w:pStyle w:val="33"/>
              <w:widowControl/>
              <w:numPr>
                <w:ilvl w:val="1"/>
                <w:numId w:val="2"/>
              </w:numPr>
              <w:spacing w:after="120" w:line="240" w:lineRule="auto"/>
              <w:ind w:firstLineChars="0"/>
              <w:jc w:val="left"/>
            </w:pPr>
            <w:r>
              <w:t xml:space="preserve">Whether NCR supporting NCR-Fwd and NCR-MT simultaneous reception is manufacture declaration basis. </w:t>
            </w:r>
          </w:p>
          <w:p>
            <w:pPr>
              <w:rPr>
                <w:b/>
                <w:u w:val="single"/>
              </w:rPr>
            </w:pPr>
            <w:r>
              <w:rPr>
                <w:b/>
                <w:u w:val="single"/>
              </w:rPr>
              <w:t>Issue 1-</w:t>
            </w:r>
            <w:r>
              <w:rPr>
                <w:rFonts w:hint="eastAsia"/>
                <w:b/>
                <w:u w:val="single"/>
              </w:rPr>
              <w:t>3</w:t>
            </w:r>
            <w:r>
              <w:rPr>
                <w:b/>
                <w:u w:val="single"/>
              </w:rPr>
              <w:t>: the necessary control information of NCR-Fwd link</w:t>
            </w:r>
          </w:p>
          <w:p>
            <w:pPr>
              <w:pStyle w:val="33"/>
              <w:widowControl/>
              <w:numPr>
                <w:ilvl w:val="0"/>
                <w:numId w:val="2"/>
              </w:numPr>
              <w:spacing w:after="120" w:line="240" w:lineRule="auto"/>
              <w:ind w:left="720" w:firstLineChars="0"/>
              <w:jc w:val="left"/>
            </w:pPr>
            <w:r>
              <w:t>Agreement:</w:t>
            </w:r>
          </w:p>
          <w:p>
            <w:pPr>
              <w:pStyle w:val="33"/>
              <w:widowControl/>
              <w:numPr>
                <w:ilvl w:val="1"/>
                <w:numId w:val="2"/>
              </w:numPr>
              <w:spacing w:after="120" w:line="240" w:lineRule="auto"/>
              <w:ind w:firstLineChars="0"/>
              <w:jc w:val="left"/>
            </w:pPr>
            <w:r>
              <w:t>For the necessary control information of NCR-Fwd link, leave it as TE’s implementation.</w:t>
            </w:r>
          </w:p>
          <w:p>
            <w:pPr>
              <w:rPr>
                <w:b/>
                <w:u w:val="single"/>
              </w:rPr>
            </w:pPr>
            <w:r>
              <w:rPr>
                <w:b/>
                <w:u w:val="single"/>
              </w:rPr>
              <w:t xml:space="preserve">Issue </w:t>
            </w:r>
            <w:r>
              <w:rPr>
                <w:rFonts w:hint="eastAsia"/>
                <w:b/>
                <w:u w:val="single"/>
              </w:rPr>
              <w:t>2</w:t>
            </w:r>
            <w:r>
              <w:rPr>
                <w:b/>
                <w:u w:val="single"/>
              </w:rPr>
              <w:t>-2: NCR-MT measurement setup</w:t>
            </w:r>
          </w:p>
          <w:p>
            <w:pPr>
              <w:pStyle w:val="33"/>
              <w:widowControl/>
              <w:numPr>
                <w:ilvl w:val="0"/>
                <w:numId w:val="2"/>
              </w:numPr>
              <w:spacing w:after="120" w:line="240" w:lineRule="auto"/>
              <w:ind w:left="720" w:firstLineChars="0"/>
              <w:jc w:val="left"/>
            </w:pPr>
            <w:r>
              <w:t xml:space="preserve">Agreement: </w:t>
            </w:r>
          </w:p>
          <w:p>
            <w:pPr>
              <w:pStyle w:val="33"/>
              <w:widowControl/>
              <w:numPr>
                <w:ilvl w:val="1"/>
                <w:numId w:val="2"/>
              </w:numPr>
              <w:spacing w:after="120" w:line="240" w:lineRule="auto"/>
              <w:ind w:firstLineChars="0"/>
              <w:jc w:val="left"/>
            </w:pPr>
            <w:r>
              <w:rPr>
                <w:rFonts w:eastAsiaTheme="minorEastAsia"/>
              </w:rPr>
              <w:t>Use</w:t>
            </w:r>
            <w:r>
              <w:t xml:space="preserve"> the existing measurement setup for Rel-16 IAB-MT as starting point for NCR-MT measurement setup</w:t>
            </w:r>
          </w:p>
          <w:p>
            <w:pPr>
              <w:rPr>
                <w:b/>
                <w:u w:val="single"/>
              </w:rPr>
            </w:pPr>
            <w:r>
              <w:rPr>
                <w:b/>
                <w:u w:val="single"/>
              </w:rPr>
              <w:t xml:space="preserve">Issue </w:t>
            </w:r>
            <w:r>
              <w:rPr>
                <w:rFonts w:hint="eastAsia"/>
                <w:b/>
                <w:u w:val="single"/>
              </w:rPr>
              <w:t>3</w:t>
            </w:r>
            <w:r>
              <w:rPr>
                <w:b/>
                <w:u w:val="single"/>
              </w:rPr>
              <w:t xml:space="preserve">-1: </w:t>
            </w:r>
            <w:r>
              <w:rPr>
                <w:rFonts w:hint="eastAsia"/>
                <w:b/>
                <w:u w:val="single"/>
              </w:rPr>
              <w:t>Proposals in</w:t>
            </w:r>
            <w:r>
              <w:rPr>
                <w:b/>
                <w:u w:val="single"/>
              </w:rPr>
              <w:t xml:space="preserve"> R4-2313008</w:t>
            </w:r>
            <w:r>
              <w:rPr>
                <w:rFonts w:hint="eastAsia"/>
                <w:b/>
                <w:u w:val="single"/>
              </w:rPr>
              <w:t xml:space="preserve"> (</w:t>
            </w:r>
            <w:r>
              <w:rPr>
                <w:b/>
                <w:u w:val="single"/>
              </w:rPr>
              <w:t>Ericsson</w:t>
            </w:r>
            <w:r>
              <w:rPr>
                <w:rFonts w:hint="eastAsia"/>
                <w:b/>
                <w:u w:val="single"/>
              </w:rPr>
              <w:t>)</w:t>
            </w:r>
          </w:p>
          <w:p>
            <w:pPr>
              <w:pStyle w:val="33"/>
              <w:widowControl/>
              <w:numPr>
                <w:ilvl w:val="0"/>
                <w:numId w:val="2"/>
              </w:numPr>
              <w:spacing w:after="120" w:line="240" w:lineRule="auto"/>
              <w:ind w:left="720" w:firstLineChars="0"/>
              <w:jc w:val="left"/>
            </w:pPr>
            <w:r>
              <w:rPr>
                <w:rFonts w:hint="eastAsia"/>
              </w:rPr>
              <w:t>Agreement:</w:t>
            </w:r>
          </w:p>
          <w:p>
            <w:pPr>
              <w:pStyle w:val="33"/>
              <w:widowControl/>
              <w:numPr>
                <w:ilvl w:val="1"/>
                <w:numId w:val="2"/>
              </w:numPr>
              <w:spacing w:after="120" w:line="240" w:lineRule="auto"/>
              <w:ind w:left="1440" w:firstLineChars="0"/>
              <w:jc w:val="left"/>
            </w:pPr>
            <w:r>
              <w:t>For NCR-FWD DL testing, continue to use the test configurations already defined in 38.115.</w:t>
            </w:r>
          </w:p>
          <w:p>
            <w:pPr>
              <w:pStyle w:val="33"/>
              <w:widowControl/>
              <w:numPr>
                <w:ilvl w:val="1"/>
                <w:numId w:val="2"/>
              </w:numPr>
              <w:spacing w:after="120" w:line="240" w:lineRule="auto"/>
              <w:ind w:left="1440" w:firstLineChars="0"/>
              <w:jc w:val="left"/>
            </w:pPr>
            <w:r>
              <w:t>For NCR-MT RX testing, place a single NCR-MT carrier at the upper and lower edges of the RF bandwidth (in each band, if applicable).</w:t>
            </w:r>
          </w:p>
          <w:p>
            <w:pPr>
              <w:pStyle w:val="33"/>
              <w:widowControl/>
              <w:numPr>
                <w:ilvl w:val="1"/>
                <w:numId w:val="2"/>
              </w:numPr>
              <w:spacing w:after="120" w:line="240" w:lineRule="auto"/>
              <w:ind w:left="1440" w:firstLineChars="0"/>
              <w:jc w:val="left"/>
            </w:pPr>
            <w:r>
              <w:t>For the separate UL testing configurations, the proposals 1 and 2 can be used for NCR-FWD UL and NCR-MT TX.</w:t>
            </w:r>
          </w:p>
          <w:p>
            <w:pPr>
              <w:spacing w:after="0" w:line="240" w:lineRule="auto"/>
              <w:jc w:val="left"/>
              <w:rPr>
                <w:b/>
                <w:u w:val="single"/>
              </w:rPr>
            </w:pPr>
            <w:r>
              <w:rPr>
                <w:rFonts w:hint="eastAsia"/>
                <w:b/>
                <w:u w:val="single"/>
              </w:rPr>
              <w:t>RAN4#108bis Agreement [R4-2316908]</w:t>
            </w:r>
          </w:p>
          <w:p>
            <w:pPr>
              <w:rPr>
                <w:b/>
                <w:u w:val="single"/>
              </w:rPr>
            </w:pPr>
            <w:r>
              <w:rPr>
                <w:b/>
                <w:u w:val="single"/>
              </w:rPr>
              <w:t xml:space="preserve">Issue 1-1: </w:t>
            </w:r>
            <w:r>
              <w:rPr>
                <w:rFonts w:hint="eastAsia"/>
                <w:b/>
                <w:u w:val="single"/>
              </w:rPr>
              <w:t>Mixed type introduction</w:t>
            </w:r>
          </w:p>
          <w:p>
            <w:pPr>
              <w:pStyle w:val="33"/>
              <w:widowControl/>
              <w:numPr>
                <w:ilvl w:val="0"/>
                <w:numId w:val="2"/>
              </w:numPr>
              <w:spacing w:after="120" w:line="240" w:lineRule="auto"/>
              <w:ind w:left="720" w:firstLineChars="0"/>
              <w:jc w:val="left"/>
              <w:rPr>
                <w:sz w:val="20"/>
                <w:szCs w:val="20"/>
              </w:rPr>
            </w:pPr>
            <w:r>
              <w:rPr>
                <w:sz w:val="20"/>
                <w:szCs w:val="20"/>
              </w:rPr>
              <w:t>Agreement:</w:t>
            </w:r>
          </w:p>
          <w:p>
            <w:pPr>
              <w:pStyle w:val="33"/>
              <w:widowControl/>
              <w:numPr>
                <w:ilvl w:val="1"/>
                <w:numId w:val="2"/>
              </w:numPr>
              <w:spacing w:after="120" w:line="240" w:lineRule="auto"/>
              <w:ind w:firstLineChars="0"/>
              <w:jc w:val="left"/>
              <w:rPr>
                <w:i/>
                <w:sz w:val="20"/>
                <w:szCs w:val="20"/>
              </w:rPr>
            </w:pPr>
            <w:r>
              <w:rPr>
                <w:rFonts w:hint="eastAsia" w:eastAsiaTheme="minorEastAsia"/>
                <w:sz w:val="20"/>
                <w:szCs w:val="20"/>
              </w:rPr>
              <w:t>The Mixed type of NCR will not be introduced in Rel-18.</w:t>
            </w:r>
          </w:p>
          <w:p>
            <w:pPr>
              <w:rPr>
                <w:b/>
                <w:u w:val="single"/>
              </w:rPr>
            </w:pPr>
            <w:r>
              <w:rPr>
                <w:b/>
                <w:u w:val="single"/>
              </w:rPr>
              <w:t xml:space="preserve">Issue </w:t>
            </w:r>
            <w:r>
              <w:rPr>
                <w:rFonts w:hint="eastAsia"/>
                <w:b/>
                <w:u w:val="single"/>
              </w:rPr>
              <w:t>3</w:t>
            </w:r>
            <w:r>
              <w:rPr>
                <w:b/>
                <w:u w:val="single"/>
              </w:rPr>
              <w:t xml:space="preserve">-1: </w:t>
            </w:r>
            <w:r>
              <w:rPr>
                <w:rFonts w:hint="eastAsia"/>
                <w:b/>
                <w:u w:val="single"/>
              </w:rPr>
              <w:t>Test configuration</w:t>
            </w:r>
          </w:p>
          <w:p>
            <w:pPr>
              <w:pStyle w:val="33"/>
              <w:widowControl/>
              <w:numPr>
                <w:ilvl w:val="0"/>
                <w:numId w:val="2"/>
              </w:numPr>
              <w:spacing w:after="120" w:line="240" w:lineRule="auto"/>
              <w:ind w:firstLineChars="0"/>
              <w:jc w:val="left"/>
              <w:rPr>
                <w:sz w:val="20"/>
                <w:szCs w:val="20"/>
              </w:rPr>
            </w:pPr>
            <w:r>
              <w:rPr>
                <w:rFonts w:hint="eastAsia"/>
                <w:sz w:val="20"/>
                <w:szCs w:val="20"/>
              </w:rPr>
              <w:t>For the joint UL test configuration</w:t>
            </w:r>
            <w:r>
              <w:rPr>
                <w:sz w:val="20"/>
                <w:szCs w:val="20"/>
              </w:rPr>
              <w:t xml:space="preserve"> following is consider</w:t>
            </w:r>
            <w:r>
              <w:rPr>
                <w:rFonts w:hint="eastAsia"/>
                <w:sz w:val="20"/>
                <w:szCs w:val="20"/>
              </w:rPr>
              <w:t>:</w:t>
            </w:r>
          </w:p>
          <w:p>
            <w:pPr>
              <w:pStyle w:val="33"/>
              <w:widowControl/>
              <w:numPr>
                <w:ilvl w:val="1"/>
                <w:numId w:val="2"/>
              </w:numPr>
              <w:spacing w:after="120" w:line="240" w:lineRule="auto"/>
              <w:ind w:firstLineChars="0"/>
              <w:jc w:val="left"/>
              <w:rPr>
                <w:sz w:val="20"/>
                <w:szCs w:val="20"/>
              </w:rPr>
            </w:pPr>
            <w:r>
              <w:rPr>
                <w:rFonts w:hint="eastAsia"/>
                <w:sz w:val="20"/>
                <w:szCs w:val="20"/>
              </w:rPr>
              <w:t>Option 1:</w:t>
            </w:r>
          </w:p>
          <w:p>
            <w:pPr>
              <w:pStyle w:val="33"/>
              <w:widowControl/>
              <w:numPr>
                <w:ilvl w:val="2"/>
                <w:numId w:val="2"/>
              </w:numPr>
              <w:spacing w:after="120" w:line="240" w:lineRule="auto"/>
              <w:ind w:firstLineChars="0"/>
              <w:jc w:val="left"/>
              <w:rPr>
                <w:sz w:val="20"/>
                <w:szCs w:val="20"/>
              </w:rPr>
            </w:pPr>
            <w:r>
              <w:rPr>
                <w:iCs/>
                <w:sz w:val="20"/>
                <w:szCs w:val="20"/>
                <w:lang w:eastAsia="en-US"/>
              </w:rPr>
              <w:t>Place an NCR-MT carrier at the lower end of each passband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3"/>
              <w:widowControl/>
              <w:numPr>
                <w:ilvl w:val="2"/>
                <w:numId w:val="2"/>
              </w:numPr>
              <w:spacing w:after="120" w:line="240" w:lineRule="auto"/>
              <w:ind w:firstLineChars="0"/>
              <w:jc w:val="left"/>
              <w:rPr>
                <w:sz w:val="20"/>
                <w:szCs w:val="20"/>
              </w:rPr>
            </w:pPr>
            <w:r>
              <w:rPr>
                <w:sz w:val="20"/>
                <w:szCs w:val="20"/>
                <w:lang w:eastAsia="en-US"/>
              </w:rPr>
              <w:t>Pl</w:t>
            </w:r>
            <w:r>
              <w:rPr>
                <w:iCs/>
                <w:sz w:val="20"/>
                <w:szCs w:val="20"/>
                <w:lang w:eastAsia="en-US"/>
              </w:rPr>
              <w:t>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r>
              <w:rPr>
                <w:sz w:val="20"/>
                <w:szCs w:val="20"/>
                <w:lang w:eastAsia="en-US"/>
              </w:rPr>
              <w:t>.</w:t>
            </w:r>
          </w:p>
          <w:p>
            <w:pPr>
              <w:pStyle w:val="33"/>
              <w:widowControl/>
              <w:numPr>
                <w:ilvl w:val="1"/>
                <w:numId w:val="2"/>
              </w:numPr>
              <w:spacing w:after="120" w:line="240" w:lineRule="auto"/>
              <w:ind w:firstLineChars="0"/>
              <w:jc w:val="left"/>
              <w:rPr>
                <w:b/>
                <w:u w:val="single"/>
              </w:rPr>
            </w:pPr>
            <w:r>
              <w:rPr>
                <w:rFonts w:hint="eastAsia"/>
                <w:sz w:val="20"/>
                <w:szCs w:val="20"/>
              </w:rPr>
              <w:t>Other Options are not precluded.</w:t>
            </w:r>
          </w:p>
          <w:p>
            <w:pPr>
              <w:jc w:val="both"/>
              <w:rPr>
                <w:b/>
                <w:u w:val="single"/>
              </w:rPr>
            </w:pPr>
            <w:r>
              <w:rPr>
                <w:rFonts w:hint="eastAsia"/>
                <w:b/>
                <w:u w:val="single"/>
              </w:rPr>
              <w:t>RAN4#10</w:t>
            </w:r>
            <w:r>
              <w:rPr>
                <w:rFonts w:hint="eastAsia"/>
                <w:b/>
                <w:u w:val="single"/>
                <w:lang w:val="en-US" w:eastAsia="zh-CN"/>
              </w:rPr>
              <w:t>9</w:t>
            </w:r>
            <w:r>
              <w:rPr>
                <w:rFonts w:hint="eastAsia"/>
                <w:b/>
                <w:u w:val="single"/>
              </w:rPr>
              <w:t xml:space="preserve"> Agreement [R4-23</w:t>
            </w:r>
            <w:r>
              <w:rPr>
                <w:rFonts w:hint="eastAsia"/>
                <w:b/>
                <w:u w:val="single"/>
                <w:lang w:eastAsia="zh-CN"/>
              </w:rPr>
              <w:t>21083</w:t>
            </w:r>
            <w:r>
              <w:rPr>
                <w:rFonts w:hint="eastAsia"/>
                <w:b/>
                <w:u w:val="single"/>
              </w:rPr>
              <w:t>]</w:t>
            </w:r>
          </w:p>
          <w:p>
            <w:pPr>
              <w:rPr>
                <w:b/>
                <w:u w:val="single"/>
                <w:lang w:eastAsia="zh-CN"/>
              </w:rPr>
            </w:pPr>
            <w:r>
              <w:rPr>
                <w:b/>
                <w:u w:val="single"/>
              </w:rPr>
              <w:t xml:space="preserve">Issue 1-1: </w:t>
            </w:r>
            <w:r>
              <w:rPr>
                <w:rFonts w:hint="eastAsia"/>
                <w:b/>
                <w:u w:val="single"/>
                <w:lang w:eastAsia="zh-CN"/>
              </w:rPr>
              <w:t xml:space="preserve">Simultaneously Tx/Rx </w:t>
            </w:r>
          </w:p>
          <w:p>
            <w:pPr>
              <w:pStyle w:val="33"/>
              <w:widowControl/>
              <w:numPr>
                <w:ilvl w:val="0"/>
                <w:numId w:val="2"/>
              </w:numPr>
              <w:spacing w:before="0" w:after="120" w:line="240" w:lineRule="auto"/>
              <w:ind w:left="720" w:firstLineChars="0"/>
              <w:jc w:val="left"/>
              <w:rPr>
                <w:sz w:val="20"/>
                <w:szCs w:val="20"/>
              </w:rPr>
            </w:pPr>
            <w:r>
              <w:rPr>
                <w:sz w:val="20"/>
                <w:szCs w:val="20"/>
              </w:rPr>
              <w:t xml:space="preserve">Agreement: </w:t>
            </w:r>
          </w:p>
          <w:p>
            <w:pPr>
              <w:pStyle w:val="33"/>
              <w:widowControl/>
              <w:numPr>
                <w:ilvl w:val="1"/>
                <w:numId w:val="2"/>
              </w:numPr>
              <w:spacing w:before="0" w:after="120" w:line="240" w:lineRule="auto"/>
              <w:ind w:firstLineChars="0"/>
              <w:jc w:val="left"/>
              <w:rPr>
                <w:i/>
              </w:rPr>
            </w:pPr>
            <w:r>
              <w:rPr>
                <w:highlight w:val="yellow"/>
              </w:rPr>
              <w:t>Support of simultaneous</w:t>
            </w:r>
            <w:r>
              <w:rPr>
                <w:rFonts w:eastAsiaTheme="minorEastAsia"/>
                <w:highlight w:val="yellow"/>
              </w:rPr>
              <w:t xml:space="preserve"> Tx</w:t>
            </w:r>
            <w:r>
              <w:rPr>
                <w:highlight w:val="yellow"/>
              </w:rPr>
              <w:t xml:space="preserve"> of NCR-Fwd and NCR-MT is manufacturer declaration basis. </w:t>
            </w:r>
            <w:r>
              <w:t>Simultaneous</w:t>
            </w:r>
            <w:r>
              <w:rPr>
                <w:rFonts w:eastAsiaTheme="minorEastAsia"/>
              </w:rPr>
              <w:t xml:space="preserve"> Tx</w:t>
            </w:r>
            <w:r>
              <w:t xml:space="preserve"> declaration is assumed to be aligned with related capability signaling, if any.</w:t>
            </w:r>
            <w:r>
              <w:rPr>
                <w:rFonts w:hint="eastAsia" w:eastAsiaTheme="minorEastAsia"/>
              </w:rPr>
              <w:t xml:space="preserve"> </w:t>
            </w:r>
          </w:p>
          <w:p>
            <w:pPr>
              <w:pStyle w:val="33"/>
              <w:widowControl/>
              <w:numPr>
                <w:ilvl w:val="1"/>
                <w:numId w:val="2"/>
              </w:numPr>
              <w:spacing w:before="0" w:after="120" w:line="240" w:lineRule="auto"/>
              <w:ind w:firstLineChars="0"/>
              <w:jc w:val="left"/>
              <w:rPr>
                <w:i/>
                <w:sz w:val="20"/>
                <w:szCs w:val="20"/>
              </w:rPr>
            </w:pPr>
            <w:r>
              <w:rPr>
                <w:rFonts w:hint="eastAsia" w:eastAsiaTheme="minorEastAsia"/>
                <w:sz w:val="20"/>
                <w:szCs w:val="20"/>
              </w:rPr>
              <w:t xml:space="preserve">Simultaneously Rx is </w:t>
            </w:r>
            <w:r>
              <w:rPr>
                <w:rFonts w:eastAsiaTheme="minorEastAsia"/>
                <w:sz w:val="20"/>
                <w:szCs w:val="20"/>
              </w:rPr>
              <w:t xml:space="preserve">mandatory </w:t>
            </w:r>
            <w:r>
              <w:rPr>
                <w:rFonts w:hint="eastAsia" w:eastAsiaTheme="minorEastAsia"/>
                <w:sz w:val="20"/>
                <w:szCs w:val="20"/>
              </w:rPr>
              <w:t>for</w:t>
            </w:r>
            <w:r>
              <w:rPr>
                <w:rFonts w:eastAsiaTheme="minorEastAsia"/>
                <w:sz w:val="20"/>
                <w:szCs w:val="20"/>
              </w:rPr>
              <w:t xml:space="preserve"> </w:t>
            </w:r>
            <w:r>
              <w:rPr>
                <w:rFonts w:hint="eastAsia" w:eastAsiaTheme="minorEastAsia"/>
                <w:sz w:val="20"/>
                <w:szCs w:val="20"/>
              </w:rPr>
              <w:t>NCR.</w:t>
            </w:r>
          </w:p>
          <w:p>
            <w:pPr>
              <w:rPr>
                <w:b/>
                <w:u w:val="single"/>
                <w:lang w:eastAsia="zh-CN"/>
              </w:rPr>
            </w:pPr>
            <w:r>
              <w:rPr>
                <w:b/>
                <w:u w:val="single"/>
                <w:lang w:eastAsia="zh-CN"/>
              </w:rPr>
              <w:t xml:space="preserve">Issue </w:t>
            </w:r>
            <w:r>
              <w:rPr>
                <w:rFonts w:hint="eastAsia"/>
                <w:b/>
                <w:u w:val="single"/>
                <w:lang w:eastAsia="zh-CN"/>
              </w:rPr>
              <w:t>3</w:t>
            </w:r>
            <w:r>
              <w:rPr>
                <w:b/>
                <w:u w:val="single"/>
                <w:lang w:eastAsia="zh-CN"/>
              </w:rPr>
              <w:t xml:space="preserve">-1: </w:t>
            </w:r>
            <w:r>
              <w:rPr>
                <w:rFonts w:hint="eastAsia"/>
                <w:b/>
                <w:u w:val="single"/>
                <w:lang w:eastAsia="zh-CN"/>
              </w:rPr>
              <w:t>Test configuration of simultaneously Tx</w:t>
            </w:r>
          </w:p>
          <w:p>
            <w:pPr>
              <w:pStyle w:val="33"/>
              <w:widowControl/>
              <w:numPr>
                <w:ilvl w:val="0"/>
                <w:numId w:val="2"/>
              </w:numPr>
              <w:spacing w:before="0" w:after="120" w:line="240" w:lineRule="auto"/>
              <w:ind w:firstLineChars="0"/>
              <w:jc w:val="left"/>
              <w:rPr>
                <w:sz w:val="20"/>
                <w:szCs w:val="20"/>
              </w:rPr>
            </w:pPr>
            <w:r>
              <w:rPr>
                <w:rFonts w:hint="eastAsia"/>
                <w:sz w:val="20"/>
                <w:szCs w:val="20"/>
              </w:rPr>
              <w:t>Agreements:</w:t>
            </w:r>
          </w:p>
          <w:p>
            <w:pPr>
              <w:pStyle w:val="33"/>
              <w:widowControl/>
              <w:numPr>
                <w:ilvl w:val="1"/>
                <w:numId w:val="2"/>
              </w:numPr>
              <w:spacing w:before="0" w:after="120" w:line="240" w:lineRule="auto"/>
              <w:ind w:firstLineChars="0"/>
              <w:jc w:val="left"/>
              <w:rPr>
                <w:sz w:val="20"/>
                <w:szCs w:val="20"/>
              </w:rPr>
            </w:pPr>
            <w:r>
              <w:rPr>
                <w:sz w:val="20"/>
                <w:szCs w:val="20"/>
              </w:rPr>
              <w:t>For single passband</w:t>
            </w:r>
            <w:r>
              <w:rPr>
                <w:rFonts w:hint="eastAsia"/>
                <w:sz w:val="20"/>
                <w:szCs w:val="20"/>
              </w:rPr>
              <w:t>:</w:t>
            </w:r>
          </w:p>
          <w:p>
            <w:pPr>
              <w:pStyle w:val="33"/>
              <w:widowControl/>
              <w:numPr>
                <w:ilvl w:val="2"/>
                <w:numId w:val="2"/>
              </w:numPr>
              <w:spacing w:before="0" w:after="120" w:line="240" w:lineRule="auto"/>
              <w:ind w:firstLineChars="0"/>
              <w:jc w:val="left"/>
              <w:rPr>
                <w:sz w:val="20"/>
                <w:szCs w:val="20"/>
              </w:rPr>
            </w:pPr>
            <w:r>
              <w:rPr>
                <w:iCs/>
                <w:sz w:val="20"/>
                <w:szCs w:val="20"/>
                <w:lang w:eastAsia="en-US"/>
              </w:rPr>
              <w:t>Place an NCR-MT carrier at the lower end of the passband</w:t>
            </w:r>
            <w:r>
              <w:rPr>
                <w:rFonts w:hint="eastAsia"/>
                <w:iCs/>
                <w:sz w:val="20"/>
                <w:szCs w:val="20"/>
              </w:rPr>
              <w:t>.</w:t>
            </w:r>
            <w:r>
              <w:rPr>
                <w:iCs/>
                <w:sz w:val="20"/>
                <w:szCs w:val="20"/>
                <w:lang w:eastAsia="en-US"/>
              </w:rPr>
              <w:t xml:space="preserve"> Generate an NR carrier using test equipment at the upper edge of the passband, and a second NR carrier adjacent to the NCR-MT carrier within the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3"/>
              <w:widowControl/>
              <w:numPr>
                <w:ilvl w:val="2"/>
                <w:numId w:val="2"/>
              </w:numPr>
              <w:spacing w:before="0" w:after="120" w:line="240" w:lineRule="auto"/>
              <w:ind w:firstLineChars="0"/>
              <w:jc w:val="left"/>
              <w:rPr>
                <w:sz w:val="20"/>
                <w:szCs w:val="20"/>
              </w:rPr>
            </w:pPr>
            <w:r>
              <w:rPr>
                <w:sz w:val="20"/>
                <w:szCs w:val="20"/>
                <w:lang w:eastAsia="en-US"/>
              </w:rPr>
              <w:t>P</w:t>
            </w:r>
            <w:r>
              <w:rPr>
                <w:iCs/>
                <w:sz w:val="20"/>
                <w:szCs w:val="20"/>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r>
              <w:rPr>
                <w:sz w:val="20"/>
                <w:szCs w:val="20"/>
                <w:lang w:eastAsia="en-US"/>
              </w:rPr>
              <w:t>.</w:t>
            </w:r>
          </w:p>
          <w:p>
            <w:pPr>
              <w:pStyle w:val="33"/>
              <w:widowControl/>
              <w:numPr>
                <w:ilvl w:val="1"/>
                <w:numId w:val="2"/>
              </w:numPr>
              <w:spacing w:before="0" w:after="120" w:line="240" w:lineRule="auto"/>
              <w:ind w:firstLineChars="0"/>
              <w:jc w:val="left"/>
              <w:rPr>
                <w:sz w:val="20"/>
                <w:szCs w:val="20"/>
              </w:rPr>
            </w:pPr>
            <w:r>
              <w:rPr>
                <w:rFonts w:hint="eastAsia"/>
                <w:sz w:val="20"/>
                <w:szCs w:val="20"/>
              </w:rPr>
              <w:t>F</w:t>
            </w:r>
            <w:r>
              <w:rPr>
                <w:sz w:val="20"/>
                <w:szCs w:val="20"/>
              </w:rPr>
              <w:t>or multiple passband</w:t>
            </w:r>
            <w:r>
              <w:rPr>
                <w:rFonts w:hint="eastAsia"/>
                <w:sz w:val="20"/>
                <w:szCs w:val="20"/>
              </w:rPr>
              <w:t>:</w:t>
            </w:r>
          </w:p>
          <w:p>
            <w:pPr>
              <w:pStyle w:val="33"/>
              <w:widowControl/>
              <w:numPr>
                <w:ilvl w:val="2"/>
                <w:numId w:val="2"/>
              </w:numPr>
              <w:spacing w:before="0" w:after="120" w:line="240" w:lineRule="auto"/>
              <w:ind w:firstLineChars="0"/>
              <w:jc w:val="left"/>
              <w:rPr>
                <w:sz w:val="20"/>
                <w:szCs w:val="20"/>
              </w:rPr>
            </w:pPr>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3"/>
              <w:widowControl/>
              <w:numPr>
                <w:ilvl w:val="2"/>
                <w:numId w:val="2"/>
              </w:numPr>
              <w:spacing w:before="0" w:after="120" w:line="240" w:lineRule="auto"/>
              <w:ind w:firstLineChars="0"/>
              <w:jc w:val="left"/>
              <w:rPr>
                <w:sz w:val="20"/>
                <w:szCs w:val="20"/>
              </w:rPr>
            </w:pPr>
            <w:r>
              <w:rPr>
                <w:sz w:val="20"/>
                <w:szCs w:val="20"/>
                <w:lang w:eastAsia="en-US"/>
              </w:rPr>
              <w:t>P</w:t>
            </w:r>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Pr>
                <w:sz w:val="20"/>
                <w:szCs w:val="20"/>
                <w:lang w:eastAsia="en-US"/>
              </w:rPr>
              <w:t>.</w:t>
            </w:r>
          </w:p>
          <w:p>
            <w:pPr>
              <w:pStyle w:val="33"/>
              <w:widowControl/>
              <w:numPr>
                <w:ilvl w:val="2"/>
                <w:numId w:val="2"/>
              </w:numPr>
              <w:spacing w:before="0" w:after="120" w:line="240" w:lineRule="auto"/>
              <w:ind w:firstLineChars="0"/>
              <w:jc w:val="left"/>
              <w:rPr>
                <w:sz w:val="20"/>
                <w:szCs w:val="20"/>
              </w:rPr>
            </w:pPr>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p>
          <w:p>
            <w:pPr>
              <w:pStyle w:val="33"/>
              <w:widowControl/>
              <w:numPr>
                <w:ilvl w:val="2"/>
                <w:numId w:val="2"/>
              </w:numPr>
              <w:spacing w:before="0" w:after="120" w:line="240" w:lineRule="auto"/>
              <w:ind w:firstLineChars="0"/>
              <w:jc w:val="left"/>
              <w:rPr>
                <w:sz w:val="20"/>
                <w:szCs w:val="20"/>
              </w:rPr>
            </w:pPr>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p>
          <w:p>
            <w:pPr>
              <w:rPr>
                <w:b/>
                <w:u w:val="single"/>
                <w:lang w:eastAsia="zh-CN"/>
              </w:rPr>
            </w:pPr>
            <w:r>
              <w:rPr>
                <w:b/>
                <w:u w:val="single"/>
                <w:lang w:eastAsia="zh-CN"/>
              </w:rPr>
              <w:t xml:space="preserve">Issue </w:t>
            </w:r>
            <w:r>
              <w:rPr>
                <w:rFonts w:hint="eastAsia"/>
                <w:b/>
                <w:u w:val="single"/>
                <w:lang w:eastAsia="zh-CN"/>
              </w:rPr>
              <w:t>3</w:t>
            </w:r>
            <w:r>
              <w:rPr>
                <w:b/>
                <w:u w:val="single"/>
                <w:lang w:eastAsia="zh-CN"/>
              </w:rPr>
              <w:t>-</w:t>
            </w:r>
            <w:r>
              <w:rPr>
                <w:rFonts w:hint="eastAsia"/>
                <w:b/>
                <w:u w:val="single"/>
                <w:lang w:eastAsia="zh-CN"/>
              </w:rPr>
              <w:t>2</w:t>
            </w:r>
            <w:r>
              <w:rPr>
                <w:b/>
                <w:u w:val="single"/>
                <w:lang w:eastAsia="zh-CN"/>
              </w:rPr>
              <w:t xml:space="preserve">: </w:t>
            </w:r>
            <w:r>
              <w:rPr>
                <w:rFonts w:hint="eastAsia"/>
                <w:b/>
                <w:u w:val="single"/>
                <w:lang w:eastAsia="zh-CN"/>
              </w:rPr>
              <w:t>Test signal</w:t>
            </w:r>
          </w:p>
          <w:p>
            <w:pPr>
              <w:pStyle w:val="33"/>
              <w:widowControl/>
              <w:numPr>
                <w:ilvl w:val="0"/>
                <w:numId w:val="2"/>
              </w:numPr>
              <w:spacing w:before="0" w:after="120" w:line="240" w:lineRule="auto"/>
              <w:ind w:left="720" w:firstLineChars="0"/>
              <w:jc w:val="left"/>
            </w:pPr>
            <w:r>
              <w:rPr>
                <w:rFonts w:hint="eastAsia"/>
              </w:rPr>
              <w:t>Agreements</w:t>
            </w:r>
            <w:r>
              <w:t xml:space="preserve">: </w:t>
            </w:r>
          </w:p>
          <w:p>
            <w:pPr>
              <w:pStyle w:val="33"/>
              <w:widowControl/>
              <w:numPr>
                <w:ilvl w:val="1"/>
                <w:numId w:val="2"/>
              </w:numPr>
              <w:spacing w:before="0" w:after="120" w:line="240" w:lineRule="auto"/>
              <w:ind w:left="1440" w:firstLineChars="0"/>
              <w:jc w:val="left"/>
            </w:pPr>
            <w:r>
              <w:t>Reus</w:t>
            </w:r>
            <w:r>
              <w:rPr>
                <w:rFonts w:hint="eastAsia"/>
              </w:rPr>
              <w:t>e</w:t>
            </w:r>
            <w:r>
              <w:t xml:space="preserve"> test signal used to build Test Configuration already specified in TS 38.115-1 and 38.115-2 as the baseline.</w:t>
            </w:r>
          </w:p>
          <w:p>
            <w:pPr>
              <w:rPr>
                <w:b/>
                <w:u w:val="single"/>
                <w:lang w:eastAsia="zh-CN"/>
              </w:rPr>
            </w:pPr>
            <w:r>
              <w:rPr>
                <w:b/>
                <w:u w:val="single"/>
                <w:lang w:eastAsia="zh-CN"/>
              </w:rPr>
              <w:t xml:space="preserve">Issue </w:t>
            </w:r>
            <w:r>
              <w:rPr>
                <w:rFonts w:hint="eastAsia"/>
                <w:b/>
                <w:u w:val="single"/>
                <w:lang w:eastAsia="zh-CN"/>
              </w:rPr>
              <w:t>3</w:t>
            </w:r>
            <w:r>
              <w:rPr>
                <w:b/>
                <w:u w:val="single"/>
                <w:lang w:eastAsia="zh-CN"/>
              </w:rPr>
              <w:t>-</w:t>
            </w:r>
            <w:r>
              <w:rPr>
                <w:rFonts w:hint="eastAsia"/>
                <w:b/>
                <w:u w:val="single"/>
                <w:lang w:eastAsia="zh-CN"/>
              </w:rPr>
              <w:t>3</w:t>
            </w:r>
            <w:r>
              <w:rPr>
                <w:b/>
                <w:u w:val="single"/>
                <w:lang w:eastAsia="zh-CN"/>
              </w:rPr>
              <w:t xml:space="preserve">: </w:t>
            </w:r>
            <w:r>
              <w:rPr>
                <w:rFonts w:hint="eastAsia"/>
                <w:b/>
                <w:u w:val="single"/>
                <w:lang w:eastAsia="zh-CN"/>
              </w:rPr>
              <w:t>Test model</w:t>
            </w:r>
          </w:p>
          <w:p>
            <w:pPr>
              <w:pStyle w:val="33"/>
              <w:numPr>
                <w:ilvl w:val="0"/>
                <w:numId w:val="2"/>
              </w:numPr>
              <w:spacing w:after="120"/>
              <w:ind w:left="720" w:firstLineChars="0"/>
            </w:pPr>
            <w:r>
              <w:rPr>
                <w:rFonts w:hint="eastAsia"/>
              </w:rPr>
              <w:t>Way forward: further discuss with following options and other options are not precluded</w:t>
            </w:r>
            <w:r>
              <w:t>.</w:t>
            </w:r>
          </w:p>
          <w:p>
            <w:pPr>
              <w:pStyle w:val="33"/>
              <w:widowControl/>
              <w:numPr>
                <w:ilvl w:val="1"/>
                <w:numId w:val="2"/>
              </w:numPr>
              <w:spacing w:before="0" w:after="120" w:line="240" w:lineRule="auto"/>
              <w:ind w:left="1440" w:firstLineChars="0"/>
              <w:jc w:val="left"/>
            </w:pPr>
            <w:r>
              <w:rPr>
                <w:rFonts w:hint="eastAsia" w:eastAsiaTheme="minorEastAsia"/>
                <w:bCs/>
                <w:szCs w:val="20"/>
              </w:rPr>
              <w:t xml:space="preserve">Option </w:t>
            </w:r>
            <w:r>
              <w:rPr>
                <w:rFonts w:eastAsiaTheme="minorEastAsia"/>
                <w:bCs/>
                <w:szCs w:val="20"/>
              </w:rPr>
              <w:t>1</w:t>
            </w:r>
            <w:r>
              <w:rPr>
                <w:rFonts w:hint="eastAsia" w:eastAsiaTheme="minorEastAsia"/>
                <w:bCs/>
                <w:szCs w:val="20"/>
              </w:rPr>
              <w:t xml:space="preserve">: </w:t>
            </w:r>
            <w:r>
              <w:rPr>
                <w:rFonts w:eastAsiaTheme="minorEastAsia"/>
                <w:bCs/>
                <w:szCs w:val="20"/>
              </w:rPr>
              <w:t>A</w:t>
            </w:r>
            <w:r>
              <w:rPr>
                <w:bCs/>
                <w:szCs w:val="20"/>
              </w:rPr>
              <w:t>t least LA NCR-MT SEM requirements should also be tested under edge_1PRB_left and edge_1P</w:t>
            </w:r>
            <w:r>
              <w:rPr>
                <w:rFonts w:hint="eastAsia"/>
                <w:bCs/>
                <w:szCs w:val="20"/>
              </w:rPr>
              <w:t>RB_right RB allocations with max Tx power. Additional test mode beside IAB testing modes should be added.</w:t>
            </w:r>
          </w:p>
          <w:p>
            <w:pPr>
              <w:spacing w:after="0" w:line="240" w:lineRule="auto"/>
              <w:jc w:val="left"/>
              <w:rPr>
                <w:sz w:val="20"/>
              </w:rPr>
            </w:pPr>
          </w:p>
        </w:tc>
      </w:tr>
    </w:tbl>
    <w:p>
      <w:pPr>
        <w:spacing w:after="0" w:line="240" w:lineRule="auto"/>
        <w:jc w:val="left"/>
        <w:rPr>
          <w:sz w:val="20"/>
        </w:rPr>
      </w:pP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14"/>
      <w:bookmarkStart w:id="4" w:name="OLE_LINK20"/>
      <w:r>
        <w:rPr>
          <w:rFonts w:hint="eastAsia" w:eastAsia="Times New Roman"/>
        </w:rPr>
        <w:t xml:space="preserve"> </w:t>
      </w:r>
    </w:p>
    <w:p>
      <w:pPr>
        <w:spacing w:line="240" w:lineRule="auto"/>
        <w:outlineLvl w:val="1"/>
        <w:rPr>
          <w:rFonts w:hint="eastAsia" w:ascii="Arial" w:hAnsi="Arial" w:cs="Arial"/>
          <w:sz w:val="28"/>
          <w:szCs w:val="28"/>
          <w:lang w:val="en-US" w:eastAsia="zh-CN"/>
        </w:rPr>
      </w:pPr>
      <w:r>
        <w:rPr>
          <w:rFonts w:hint="eastAsia" w:ascii="Arial" w:hAnsi="Arial" w:cs="Arial"/>
          <w:sz w:val="28"/>
          <w:szCs w:val="28"/>
        </w:rPr>
        <w:t>2.</w:t>
      </w:r>
      <w:r>
        <w:rPr>
          <w:rFonts w:hint="eastAsia" w:ascii="Arial" w:hAnsi="Arial" w:cs="Arial"/>
          <w:sz w:val="28"/>
          <w:szCs w:val="28"/>
          <w:lang w:val="en-US" w:eastAsia="zh-CN"/>
        </w:rPr>
        <w:t>1</w:t>
      </w:r>
      <w:r>
        <w:rPr>
          <w:rFonts w:hint="eastAsia" w:ascii="Arial" w:hAnsi="Arial" w:cs="Arial"/>
          <w:sz w:val="28"/>
          <w:szCs w:val="28"/>
        </w:rPr>
        <w:t xml:space="preserve">. Test </w:t>
      </w:r>
      <w:r>
        <w:rPr>
          <w:rFonts w:hint="eastAsia" w:ascii="Arial" w:hAnsi="Arial" w:cs="Arial"/>
          <w:sz w:val="28"/>
          <w:szCs w:val="28"/>
          <w:lang w:val="en-US" w:eastAsia="zh-CN"/>
        </w:rPr>
        <w:t>model</w:t>
      </w:r>
    </w:p>
    <w:p>
      <w:pPr>
        <w:spacing w:line="240" w:lineRule="auto"/>
        <w:rPr>
          <w:rFonts w:hint="eastAsia" w:eastAsiaTheme="minorEastAsia"/>
          <w:sz w:val="20"/>
          <w:lang w:val="en-US" w:eastAsia="zh-CN"/>
        </w:rPr>
      </w:pPr>
      <w:r>
        <w:rPr>
          <w:rFonts w:hint="eastAsia" w:eastAsiaTheme="minorEastAsia"/>
          <w:sz w:val="20"/>
          <w:lang w:val="en-US" w:eastAsia="zh-CN"/>
        </w:rPr>
        <w:t xml:space="preserve">During the previous RAN4 meeting, there were some further discussions on the test model especially for LA NCR-MT with the SEM testing on edge PRBs with maximum output power. However as we known that for edge PRBs with maximum output power, usually there would be some MPR in order to meet the SEM/ACLR/ EVM/in-band emission requirement. For NCR-MT, there are no power class defined for it and there are also no MPR requirement defined for it even though lots of LA NCR-MT RF requirements are reusing from the UE RF requirement. </w:t>
      </w:r>
    </w:p>
    <w:p>
      <w:pPr>
        <w:spacing w:line="240" w:lineRule="auto"/>
        <w:rPr>
          <w:rFonts w:hint="eastAsia"/>
          <w:bCs/>
          <w:szCs w:val="20"/>
          <w:lang w:val="en-US" w:eastAsia="zh-CN"/>
        </w:rPr>
      </w:pPr>
      <w:r>
        <w:rPr>
          <w:rFonts w:hint="eastAsia" w:eastAsiaTheme="minorEastAsia"/>
          <w:sz w:val="20"/>
          <w:lang w:val="en-US" w:eastAsia="zh-CN"/>
        </w:rPr>
        <w:t>Based on the above background, we propose not to consider the</w:t>
      </w:r>
      <w:r>
        <w:rPr>
          <w:bCs/>
          <w:szCs w:val="20"/>
        </w:rPr>
        <w:t xml:space="preserve"> LA NCR-MT SEM requirements </w:t>
      </w:r>
      <w:r>
        <w:rPr>
          <w:rFonts w:hint="eastAsia"/>
          <w:bCs/>
          <w:szCs w:val="20"/>
          <w:lang w:val="en-US" w:eastAsia="zh-CN"/>
        </w:rPr>
        <w:t xml:space="preserve">to </w:t>
      </w:r>
      <w:r>
        <w:rPr>
          <w:bCs/>
          <w:szCs w:val="20"/>
        </w:rPr>
        <w:t>be tested under edge_1PRB_left and edge_1P</w:t>
      </w:r>
      <w:r>
        <w:rPr>
          <w:rFonts w:hint="eastAsia"/>
          <w:bCs/>
          <w:szCs w:val="20"/>
        </w:rPr>
        <w:t>RB_right RB allocations with max Tx power</w:t>
      </w:r>
      <w:r>
        <w:rPr>
          <w:rFonts w:hint="eastAsia"/>
          <w:bCs/>
          <w:szCs w:val="20"/>
          <w:lang w:val="en-US" w:eastAsia="zh-CN"/>
        </w:rPr>
        <w:t xml:space="preserve"> since this is quite difficult to meet the corresponding RF requirement without any power reduction. </w:t>
      </w:r>
    </w:p>
    <w:p>
      <w:pPr>
        <w:spacing w:line="240" w:lineRule="auto"/>
        <w:rPr>
          <w:rFonts w:hint="default"/>
          <w:bCs/>
          <w:szCs w:val="20"/>
          <w:lang w:val="en-US" w:eastAsia="zh-CN"/>
        </w:rPr>
      </w:pPr>
      <w:r>
        <w:rPr>
          <w:rFonts w:hint="eastAsia"/>
          <w:b/>
          <w:bCs w:val="0"/>
          <w:szCs w:val="20"/>
          <w:lang w:val="en-US" w:eastAsia="zh-CN"/>
        </w:rPr>
        <w:t>Proposal 1:</w:t>
      </w:r>
      <w:r>
        <w:rPr>
          <w:rFonts w:hint="eastAsia"/>
          <w:bCs/>
          <w:szCs w:val="20"/>
          <w:lang w:val="en-US" w:eastAsia="zh-CN"/>
        </w:rPr>
        <w:t xml:space="preserve"> not to consider the LA NCR-MT SEM requirement to be tested </w:t>
      </w:r>
      <w:r>
        <w:rPr>
          <w:bCs/>
          <w:szCs w:val="20"/>
        </w:rPr>
        <w:t>under edge_1PRB_left and edge_1P</w:t>
      </w:r>
      <w:r>
        <w:rPr>
          <w:rFonts w:hint="eastAsia"/>
          <w:bCs/>
          <w:szCs w:val="20"/>
        </w:rPr>
        <w:t>RB_right RB allocations with max Tx power</w:t>
      </w:r>
      <w:r>
        <w:rPr>
          <w:rFonts w:hint="eastAsia"/>
          <w:bCs/>
          <w:szCs w:val="20"/>
          <w:lang w:val="en-US" w:eastAsia="zh-CN"/>
        </w:rPr>
        <w:t xml:space="preserve">. </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930265" cy="2290445"/>
            <wp:effectExtent l="0" t="0" r="13335" b="1460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7"/>
                    <a:stretch>
                      <a:fillRect/>
                    </a:stretch>
                  </pic:blipFill>
                  <pic:spPr>
                    <a:xfrm>
                      <a:off x="0" y="0"/>
                      <a:ext cx="5930265" cy="2290445"/>
                    </a:xfrm>
                    <a:prstGeom prst="rect">
                      <a:avLst/>
                    </a:prstGeom>
                    <a:noFill/>
                    <a:ln w="9525">
                      <a:noFill/>
                    </a:ln>
                  </pic:spPr>
                </pic:pic>
              </a:graphicData>
            </a:graphic>
          </wp:inline>
        </w:drawing>
      </w:r>
    </w:p>
    <w:p>
      <w:pPr>
        <w:spacing w:line="240" w:lineRule="auto"/>
        <w:jc w:val="center"/>
        <w:rPr>
          <w:rFonts w:hint="default" w:ascii="Times New Roman" w:hAnsi="Times New Roman" w:cs="Times New Roman" w:eastAsiaTheme="minorEastAsia"/>
          <w:sz w:val="20"/>
          <w:lang w:val="en-US" w:eastAsia="zh-CN"/>
        </w:rPr>
      </w:pPr>
      <w:r>
        <w:rPr>
          <w:rFonts w:hint="eastAsia" w:ascii="Times New Roman" w:hAnsi="Times New Roman" w:cs="Times New Roman" w:eastAsiaTheme="minorEastAsia"/>
          <w:sz w:val="20"/>
          <w:lang w:val="en-US" w:eastAsia="zh-CN"/>
        </w:rPr>
        <w:t>Figure 1. illustration of edge PRBs, Inner RB allocations and outer RB allocations.</w:t>
      </w:r>
    </w:p>
    <w:p>
      <w:pPr>
        <w:pStyle w:val="44"/>
      </w:pPr>
      <w:r>
        <w:t>Table 6.2.2-1 Maximum power reduction (MPR) for power class 3</w:t>
      </w:r>
    </w:p>
    <w:tbl>
      <w:tblPr>
        <w:tblStyle w:val="23"/>
        <w:tblW w:w="9577"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72"/>
        <w:gridCol w:w="1560"/>
        <w:gridCol w:w="2268"/>
        <w:gridCol w:w="25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2" w:type="dxa"/>
            <w:gridSpan w:val="2"/>
            <w:tcBorders>
              <w:top w:val="single" w:color="auto" w:sz="4" w:space="0"/>
              <w:left w:val="single" w:color="auto" w:sz="4" w:space="0"/>
              <w:bottom w:val="nil"/>
              <w:right w:val="single" w:color="auto" w:sz="4" w:space="0"/>
            </w:tcBorders>
            <w:shd w:val="clear" w:color="auto" w:fill="auto"/>
            <w:vAlign w:val="center"/>
          </w:tcPr>
          <w:p>
            <w:pPr>
              <w:pStyle w:val="34"/>
            </w:pPr>
            <w:r>
              <w:t>Modulation</w:t>
            </w:r>
          </w:p>
        </w:tc>
        <w:tc>
          <w:tcPr>
            <w:tcW w:w="6945" w:type="dxa"/>
            <w:gridSpan w:val="3"/>
            <w:tcBorders>
              <w:top w:val="single" w:color="auto" w:sz="4" w:space="0"/>
              <w:left w:val="single" w:color="auto" w:sz="4" w:space="0"/>
              <w:bottom w:val="single" w:color="auto" w:sz="4" w:space="0"/>
              <w:right w:val="single" w:color="auto" w:sz="4" w:space="0"/>
            </w:tcBorders>
          </w:tcPr>
          <w:p>
            <w:pPr>
              <w:pStyle w:val="34"/>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632" w:type="dxa"/>
            <w:gridSpan w:val="2"/>
            <w:tcBorders>
              <w:top w:val="nil"/>
              <w:left w:val="single" w:color="auto" w:sz="4" w:space="0"/>
              <w:bottom w:val="single" w:color="auto" w:sz="4" w:space="0"/>
              <w:right w:val="single" w:color="auto" w:sz="4" w:space="0"/>
            </w:tcBorders>
            <w:shd w:val="clear" w:color="auto" w:fill="auto"/>
            <w:vAlign w:val="center"/>
          </w:tcPr>
          <w:p>
            <w:pPr>
              <w:pStyle w:val="34"/>
              <w:rPr>
                <w:rFonts w:cs="Arial"/>
              </w:rPr>
            </w:pPr>
          </w:p>
        </w:tc>
        <w:tc>
          <w:tcPr>
            <w:tcW w:w="2268" w:type="dxa"/>
            <w:tcBorders>
              <w:top w:val="single" w:color="auto" w:sz="4" w:space="0"/>
              <w:left w:val="single" w:color="auto" w:sz="4" w:space="0"/>
              <w:bottom w:val="single" w:color="auto" w:sz="4" w:space="0"/>
              <w:right w:val="single" w:color="auto" w:sz="4" w:space="0"/>
            </w:tcBorders>
          </w:tcPr>
          <w:p>
            <w:pPr>
              <w:pStyle w:val="34"/>
            </w:pPr>
            <w:r>
              <w:rPr>
                <w:highlight w:val="yellow"/>
              </w:rPr>
              <w:t>Edge RB allocations</w:t>
            </w:r>
          </w:p>
        </w:tc>
        <w:tc>
          <w:tcPr>
            <w:tcW w:w="2551" w:type="dxa"/>
            <w:tcBorders>
              <w:top w:val="single" w:color="auto" w:sz="4" w:space="0"/>
              <w:left w:val="single" w:color="auto" w:sz="4" w:space="0"/>
              <w:bottom w:val="single" w:color="auto" w:sz="4" w:space="0"/>
              <w:right w:val="single" w:color="auto" w:sz="4" w:space="0"/>
            </w:tcBorders>
          </w:tcPr>
          <w:p>
            <w:pPr>
              <w:pStyle w:val="34"/>
            </w:pPr>
            <w:r>
              <w:t>Outer RB allocations</w:t>
            </w:r>
          </w:p>
        </w:tc>
        <w:tc>
          <w:tcPr>
            <w:tcW w:w="2126" w:type="dxa"/>
            <w:tcBorders>
              <w:top w:val="single" w:color="auto" w:sz="4" w:space="0"/>
              <w:left w:val="single" w:color="auto" w:sz="4" w:space="0"/>
              <w:bottom w:val="single" w:color="auto" w:sz="4" w:space="0"/>
              <w:right w:val="single" w:color="auto" w:sz="4" w:space="0"/>
            </w:tcBorders>
          </w:tcPr>
          <w:p>
            <w:pPr>
              <w:pStyle w:val="34"/>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single" w:color="auto" w:sz="4" w:space="0"/>
              <w:left w:val="single" w:color="auto" w:sz="4" w:space="0"/>
              <w:bottom w:val="nil"/>
              <w:right w:val="single" w:color="auto" w:sz="4" w:space="0"/>
            </w:tcBorders>
            <w:shd w:val="clear" w:color="auto" w:fill="auto"/>
          </w:tcPr>
          <w:p>
            <w:pPr>
              <w:pStyle w:val="35"/>
            </w:pPr>
            <w:r>
              <w:t>DFT-s-OFDM</w:t>
            </w:r>
          </w:p>
        </w:tc>
        <w:tc>
          <w:tcPr>
            <w:tcW w:w="1560" w:type="dxa"/>
            <w:tcBorders>
              <w:top w:val="single" w:color="auto" w:sz="4" w:space="0"/>
              <w:left w:val="single" w:color="auto" w:sz="4" w:space="0"/>
              <w:bottom w:val="nil"/>
              <w:right w:val="single" w:color="auto" w:sz="4" w:space="0"/>
            </w:tcBorders>
            <w:shd w:val="clear" w:color="auto" w:fill="auto"/>
          </w:tcPr>
          <w:p>
            <w:pPr>
              <w:pStyle w:val="35"/>
            </w:pPr>
            <w:r>
              <w:t>Pi/2 BPSK</w:t>
            </w:r>
          </w:p>
        </w:tc>
        <w:tc>
          <w:tcPr>
            <w:tcW w:w="2268" w:type="dxa"/>
            <w:tcBorders>
              <w:top w:val="single" w:color="auto" w:sz="4" w:space="0"/>
              <w:left w:val="single" w:color="auto" w:sz="4" w:space="0"/>
              <w:bottom w:val="single" w:color="auto" w:sz="4" w:space="0"/>
              <w:right w:val="single" w:color="auto" w:sz="4" w:space="0"/>
            </w:tcBorders>
          </w:tcPr>
          <w:p>
            <w:pPr>
              <w:pStyle w:val="35"/>
            </w:pPr>
            <w:r>
              <w:t>≤ 3.5</w:t>
            </w:r>
            <w:r>
              <w:rPr>
                <w:vertAlign w:val="superscript"/>
              </w:rPr>
              <w:t>1</w:t>
            </w:r>
          </w:p>
        </w:tc>
        <w:tc>
          <w:tcPr>
            <w:tcW w:w="2551" w:type="dxa"/>
            <w:tcBorders>
              <w:top w:val="single" w:color="auto" w:sz="4" w:space="0"/>
              <w:left w:val="single" w:color="auto" w:sz="4" w:space="0"/>
              <w:bottom w:val="single" w:color="auto" w:sz="4" w:space="0"/>
              <w:right w:val="single" w:color="auto" w:sz="4" w:space="0"/>
            </w:tcBorders>
          </w:tcPr>
          <w:p>
            <w:pPr>
              <w:pStyle w:val="35"/>
              <w:rPr>
                <w:lang w:val="en-CA"/>
              </w:rPr>
            </w:pPr>
            <w:r>
              <w:t>≤ 1.2</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35"/>
            </w:pPr>
            <w:r>
              <w:t>≤ 0.2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35"/>
            </w:pPr>
          </w:p>
        </w:tc>
        <w:tc>
          <w:tcPr>
            <w:tcW w:w="1560" w:type="dxa"/>
            <w:tcBorders>
              <w:top w:val="nil"/>
              <w:left w:val="single" w:color="auto" w:sz="4" w:space="0"/>
              <w:bottom w:val="single" w:color="auto" w:sz="4" w:space="0"/>
              <w:right w:val="single" w:color="auto" w:sz="4" w:space="0"/>
            </w:tcBorders>
            <w:shd w:val="clear" w:color="auto" w:fill="auto"/>
          </w:tcPr>
          <w:p>
            <w:pPr>
              <w:pStyle w:val="35"/>
            </w:pPr>
          </w:p>
        </w:tc>
        <w:tc>
          <w:tcPr>
            <w:tcW w:w="2268" w:type="dxa"/>
            <w:tcBorders>
              <w:top w:val="single" w:color="auto" w:sz="4" w:space="0"/>
              <w:left w:val="single" w:color="auto" w:sz="4" w:space="0"/>
              <w:bottom w:val="single" w:color="auto" w:sz="4" w:space="0"/>
              <w:right w:val="single" w:color="auto" w:sz="4" w:space="0"/>
            </w:tcBorders>
          </w:tcPr>
          <w:p>
            <w:pPr>
              <w:pStyle w:val="35"/>
            </w:pPr>
            <w:r>
              <w:t>≤ 0.5</w:t>
            </w:r>
            <w:r>
              <w:rPr>
                <w:vertAlign w:val="superscript"/>
              </w:rPr>
              <w:t>2</w:t>
            </w:r>
          </w:p>
        </w:tc>
        <w:tc>
          <w:tcPr>
            <w:tcW w:w="2551" w:type="dxa"/>
            <w:tcBorders>
              <w:top w:val="single" w:color="auto" w:sz="4" w:space="0"/>
              <w:left w:val="single" w:color="auto" w:sz="4" w:space="0"/>
              <w:bottom w:val="single" w:color="auto" w:sz="4" w:space="0"/>
              <w:right w:val="single" w:color="auto" w:sz="4" w:space="0"/>
            </w:tcBorders>
          </w:tcPr>
          <w:p>
            <w:pPr>
              <w:pStyle w:val="35"/>
            </w:pPr>
            <w:r>
              <w:t>≤ 0.5</w:t>
            </w:r>
            <w:r>
              <w:rPr>
                <w:vertAlign w:val="superscript"/>
              </w:rPr>
              <w:t>2</w:t>
            </w:r>
          </w:p>
        </w:tc>
        <w:tc>
          <w:tcPr>
            <w:tcW w:w="2126" w:type="dxa"/>
            <w:tcBorders>
              <w:top w:val="single" w:color="auto" w:sz="4" w:space="0"/>
              <w:left w:val="single" w:color="auto" w:sz="4" w:space="0"/>
              <w:bottom w:val="single" w:color="auto" w:sz="4" w:space="0"/>
              <w:right w:val="single" w:color="auto" w:sz="4" w:space="0"/>
            </w:tcBorders>
          </w:tcPr>
          <w:p>
            <w:pPr>
              <w:pStyle w:val="35"/>
              <w:rPr>
                <w:lang w:val="en-CA"/>
              </w:rPr>
            </w:pPr>
            <w:r>
              <w:t>0</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35"/>
            </w:pPr>
          </w:p>
        </w:tc>
        <w:tc>
          <w:tcPr>
            <w:tcW w:w="1560" w:type="dxa"/>
            <w:tcBorders>
              <w:left w:val="single" w:color="auto" w:sz="4" w:space="0"/>
              <w:bottom w:val="single" w:color="auto" w:sz="4" w:space="0"/>
              <w:right w:val="single" w:color="auto" w:sz="4" w:space="0"/>
            </w:tcBorders>
          </w:tcPr>
          <w:p>
            <w:pPr>
              <w:pStyle w:val="35"/>
            </w:pPr>
            <w:r>
              <w:t>Pi/2 BPSK w Pi/2 BPSK DMRS</w:t>
            </w:r>
          </w:p>
        </w:tc>
        <w:tc>
          <w:tcPr>
            <w:tcW w:w="2268" w:type="dxa"/>
            <w:tcBorders>
              <w:top w:val="single" w:color="auto" w:sz="4" w:space="0"/>
              <w:left w:val="single" w:color="auto" w:sz="4" w:space="0"/>
              <w:bottom w:val="single" w:color="auto" w:sz="4" w:space="0"/>
              <w:right w:val="single" w:color="auto" w:sz="4" w:space="0"/>
            </w:tcBorders>
          </w:tcPr>
          <w:p>
            <w:pPr>
              <w:pStyle w:val="35"/>
            </w:pPr>
            <w:r>
              <w:t>≤ 0.5</w:t>
            </w:r>
            <w:r>
              <w:rPr>
                <w:vertAlign w:val="superscript"/>
              </w:rPr>
              <w:t>2</w:t>
            </w:r>
          </w:p>
        </w:tc>
        <w:tc>
          <w:tcPr>
            <w:tcW w:w="2551" w:type="dxa"/>
            <w:tcBorders>
              <w:top w:val="single" w:color="auto" w:sz="4" w:space="0"/>
              <w:left w:val="single" w:color="auto" w:sz="4" w:space="0"/>
              <w:bottom w:val="single" w:color="auto" w:sz="4" w:space="0"/>
              <w:right w:val="single" w:color="auto" w:sz="4" w:space="0"/>
            </w:tcBorders>
          </w:tcPr>
          <w:p>
            <w:pPr>
              <w:pStyle w:val="35"/>
            </w:pPr>
            <w:r>
              <w:t xml:space="preserve"> 0</w:t>
            </w:r>
            <w:r>
              <w:rPr>
                <w:vertAlign w:val="superscript"/>
              </w:rPr>
              <w:t>2</w:t>
            </w:r>
          </w:p>
        </w:tc>
        <w:tc>
          <w:tcPr>
            <w:tcW w:w="2126" w:type="dxa"/>
            <w:tcBorders>
              <w:top w:val="single" w:color="auto" w:sz="4" w:space="0"/>
              <w:left w:val="single" w:color="auto" w:sz="4" w:space="0"/>
              <w:bottom w:val="single" w:color="auto" w:sz="4" w:space="0"/>
              <w:right w:val="single" w:color="auto" w:sz="4" w:space="0"/>
            </w:tcBorders>
          </w:tcPr>
          <w:p>
            <w:pPr>
              <w:pStyle w:val="35"/>
            </w:pPr>
            <w:r>
              <w:t>0</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35"/>
            </w:pPr>
          </w:p>
        </w:tc>
        <w:tc>
          <w:tcPr>
            <w:tcW w:w="1560" w:type="dxa"/>
            <w:tcBorders>
              <w:top w:val="single" w:color="auto" w:sz="4" w:space="0"/>
              <w:left w:val="single" w:color="auto" w:sz="4" w:space="0"/>
              <w:bottom w:val="single" w:color="auto" w:sz="4" w:space="0"/>
              <w:right w:val="single" w:color="auto" w:sz="4" w:space="0"/>
            </w:tcBorders>
          </w:tcPr>
          <w:p>
            <w:pPr>
              <w:pStyle w:val="35"/>
            </w:pPr>
            <w: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35"/>
            </w:pPr>
            <w:r>
              <w:t xml:space="preserve">≤ </w:t>
            </w:r>
            <w:r>
              <w:rPr>
                <w:lang w:val="en-CA"/>
              </w:rPr>
              <w:t>1</w:t>
            </w:r>
          </w:p>
        </w:tc>
        <w:tc>
          <w:tcPr>
            <w:tcW w:w="2126" w:type="dxa"/>
            <w:tcBorders>
              <w:top w:val="single" w:color="auto" w:sz="4" w:space="0"/>
              <w:left w:val="single" w:color="auto" w:sz="4" w:space="0"/>
              <w:bottom w:val="single" w:color="auto" w:sz="4" w:space="0"/>
              <w:right w:val="single" w:color="auto" w:sz="4" w:space="0"/>
            </w:tcBorders>
          </w:tcPr>
          <w:p>
            <w:pPr>
              <w:pStyle w:val="35"/>
            </w:pPr>
            <w:r>
              <w:rPr>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35"/>
            </w:pPr>
          </w:p>
        </w:tc>
        <w:tc>
          <w:tcPr>
            <w:tcW w:w="1560" w:type="dxa"/>
            <w:tcBorders>
              <w:top w:val="single" w:color="auto" w:sz="4" w:space="0"/>
              <w:left w:val="single" w:color="auto" w:sz="4" w:space="0"/>
              <w:bottom w:val="single" w:color="auto" w:sz="4" w:space="0"/>
              <w:right w:val="single" w:color="auto" w:sz="4" w:space="0"/>
            </w:tcBorders>
          </w:tcPr>
          <w:p>
            <w:pPr>
              <w:pStyle w:val="35"/>
            </w:pPr>
            <w: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35"/>
            </w:pPr>
            <w:r>
              <w:t xml:space="preserve">≤ </w:t>
            </w:r>
            <w:r>
              <w:rPr>
                <w:lang w:val="en-CA"/>
              </w:rPr>
              <w:t>2</w:t>
            </w:r>
          </w:p>
        </w:tc>
        <w:tc>
          <w:tcPr>
            <w:tcW w:w="2126" w:type="dxa"/>
            <w:tcBorders>
              <w:top w:val="single" w:color="auto" w:sz="4" w:space="0"/>
              <w:left w:val="single" w:color="auto" w:sz="4" w:space="0"/>
              <w:bottom w:val="single" w:color="auto" w:sz="4" w:space="0"/>
              <w:right w:val="single" w:color="auto" w:sz="4" w:space="0"/>
            </w:tcBorders>
          </w:tcPr>
          <w:p>
            <w:pPr>
              <w:pStyle w:val="35"/>
            </w:pPr>
            <w:r>
              <w:t xml:space="preserve">≤ </w:t>
            </w:r>
            <w:r>
              <w:rPr>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35"/>
            </w:pPr>
          </w:p>
        </w:tc>
        <w:tc>
          <w:tcPr>
            <w:tcW w:w="1560" w:type="dxa"/>
            <w:tcBorders>
              <w:top w:val="single" w:color="auto" w:sz="4" w:space="0"/>
              <w:left w:val="single" w:color="auto" w:sz="4" w:space="0"/>
              <w:bottom w:val="single" w:color="auto" w:sz="4" w:space="0"/>
              <w:right w:val="single" w:color="auto" w:sz="4" w:space="0"/>
            </w:tcBorders>
          </w:tcPr>
          <w:p>
            <w:pPr>
              <w:pStyle w:val="35"/>
            </w:pPr>
            <w:r>
              <w:t>64 QAM</w:t>
            </w:r>
          </w:p>
        </w:tc>
        <w:tc>
          <w:tcPr>
            <w:tcW w:w="6945" w:type="dxa"/>
            <w:gridSpan w:val="3"/>
            <w:tcBorders>
              <w:top w:val="single" w:color="auto" w:sz="4" w:space="0"/>
              <w:left w:val="single" w:color="auto" w:sz="4" w:space="0"/>
              <w:bottom w:val="single" w:color="auto" w:sz="4" w:space="0"/>
              <w:right w:val="single" w:color="auto" w:sz="4" w:space="0"/>
            </w:tcBorders>
          </w:tcPr>
          <w:p>
            <w:pPr>
              <w:pStyle w:val="35"/>
            </w:pPr>
            <w:r>
              <w:t xml:space="preserve">≤ </w:t>
            </w:r>
            <w:r>
              <w:rPr>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single" w:color="auto" w:sz="4" w:space="0"/>
              <w:right w:val="single" w:color="auto" w:sz="4" w:space="0"/>
            </w:tcBorders>
            <w:shd w:val="clear" w:color="auto" w:fill="auto"/>
          </w:tcPr>
          <w:p>
            <w:pPr>
              <w:pStyle w:val="35"/>
            </w:pPr>
          </w:p>
        </w:tc>
        <w:tc>
          <w:tcPr>
            <w:tcW w:w="1560" w:type="dxa"/>
            <w:tcBorders>
              <w:top w:val="single" w:color="auto" w:sz="4" w:space="0"/>
              <w:left w:val="single" w:color="auto" w:sz="4" w:space="0"/>
              <w:bottom w:val="single" w:color="auto" w:sz="4" w:space="0"/>
              <w:right w:val="single" w:color="auto" w:sz="4" w:space="0"/>
            </w:tcBorders>
          </w:tcPr>
          <w:p>
            <w:pPr>
              <w:pStyle w:val="35"/>
            </w:pPr>
            <w:r>
              <w:rPr>
                <w:lang w:eastAsia="zh-CN"/>
              </w:rPr>
              <w:t>256</w:t>
            </w:r>
            <w:r>
              <w:t xml:space="preserve"> QAM</w:t>
            </w:r>
          </w:p>
        </w:tc>
        <w:tc>
          <w:tcPr>
            <w:tcW w:w="6945" w:type="dxa"/>
            <w:gridSpan w:val="3"/>
            <w:tcBorders>
              <w:top w:val="single" w:color="auto" w:sz="4" w:space="0"/>
              <w:left w:val="single" w:color="auto" w:sz="4" w:space="0"/>
              <w:bottom w:val="single" w:color="auto" w:sz="4" w:space="0"/>
              <w:right w:val="single" w:color="auto" w:sz="4" w:space="0"/>
            </w:tcBorders>
          </w:tcPr>
          <w:p>
            <w:pPr>
              <w:pStyle w:val="35"/>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single" w:color="auto" w:sz="4" w:space="0"/>
              <w:left w:val="single" w:color="auto" w:sz="4" w:space="0"/>
              <w:bottom w:val="nil"/>
              <w:right w:val="single" w:color="auto" w:sz="4" w:space="0"/>
            </w:tcBorders>
            <w:shd w:val="clear" w:color="auto" w:fill="auto"/>
          </w:tcPr>
          <w:p>
            <w:pPr>
              <w:pStyle w:val="35"/>
              <w:rPr>
                <w:lang w:eastAsia="zh-CN"/>
              </w:rPr>
            </w:pPr>
            <w:r>
              <w:t>CP-OFDM</w:t>
            </w:r>
          </w:p>
        </w:tc>
        <w:tc>
          <w:tcPr>
            <w:tcW w:w="1560" w:type="dxa"/>
            <w:tcBorders>
              <w:top w:val="single" w:color="auto" w:sz="4" w:space="0"/>
              <w:left w:val="single" w:color="auto" w:sz="4" w:space="0"/>
              <w:bottom w:val="single" w:color="auto" w:sz="4" w:space="0"/>
              <w:right w:val="single" w:color="auto" w:sz="4" w:space="0"/>
            </w:tcBorders>
          </w:tcPr>
          <w:p>
            <w:pPr>
              <w:pStyle w:val="35"/>
              <w:rPr>
                <w:lang w:eastAsia="zh-CN"/>
              </w:rPr>
            </w:pPr>
            <w:r>
              <w:t>QPSK</w:t>
            </w:r>
          </w:p>
        </w:tc>
        <w:tc>
          <w:tcPr>
            <w:tcW w:w="4819" w:type="dxa"/>
            <w:gridSpan w:val="2"/>
            <w:tcBorders>
              <w:top w:val="single" w:color="auto" w:sz="4" w:space="0"/>
              <w:left w:val="single" w:color="auto" w:sz="4" w:space="0"/>
              <w:bottom w:val="single" w:color="auto" w:sz="4" w:space="0"/>
              <w:right w:val="single" w:color="auto" w:sz="4" w:space="0"/>
            </w:tcBorders>
          </w:tcPr>
          <w:p>
            <w:pPr>
              <w:pStyle w:val="35"/>
            </w:pPr>
            <w:r>
              <w:t xml:space="preserve">≤ </w:t>
            </w:r>
            <w:r>
              <w:rPr>
                <w:lang w:val="en-CA"/>
              </w:rPr>
              <w:t>3</w:t>
            </w:r>
          </w:p>
        </w:tc>
        <w:tc>
          <w:tcPr>
            <w:tcW w:w="2126" w:type="dxa"/>
            <w:tcBorders>
              <w:top w:val="single" w:color="auto" w:sz="4" w:space="0"/>
              <w:left w:val="single" w:color="auto" w:sz="4" w:space="0"/>
              <w:bottom w:val="single" w:color="auto" w:sz="4" w:space="0"/>
              <w:right w:val="single" w:color="auto" w:sz="4" w:space="0"/>
            </w:tcBorders>
          </w:tcPr>
          <w:p>
            <w:pPr>
              <w:pStyle w:val="35"/>
            </w:pPr>
            <w:r>
              <w:t>≤</w:t>
            </w:r>
            <w:r>
              <w:rPr>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35"/>
              <w:rPr>
                <w:lang w:eastAsia="zh-CN"/>
              </w:rPr>
            </w:pPr>
          </w:p>
        </w:tc>
        <w:tc>
          <w:tcPr>
            <w:tcW w:w="1560" w:type="dxa"/>
            <w:tcBorders>
              <w:top w:val="single" w:color="auto" w:sz="4" w:space="0"/>
              <w:left w:val="single" w:color="auto" w:sz="4" w:space="0"/>
              <w:bottom w:val="single" w:color="auto" w:sz="4" w:space="0"/>
              <w:right w:val="single" w:color="auto" w:sz="4" w:space="0"/>
            </w:tcBorders>
          </w:tcPr>
          <w:p>
            <w:pPr>
              <w:pStyle w:val="35"/>
              <w:rPr>
                <w:lang w:eastAsia="zh-CN"/>
              </w:rPr>
            </w:pPr>
            <w:r>
              <w:t>16 QAM</w:t>
            </w:r>
          </w:p>
        </w:tc>
        <w:tc>
          <w:tcPr>
            <w:tcW w:w="4819" w:type="dxa"/>
            <w:gridSpan w:val="2"/>
            <w:tcBorders>
              <w:top w:val="single" w:color="auto" w:sz="4" w:space="0"/>
              <w:left w:val="single" w:color="auto" w:sz="4" w:space="0"/>
              <w:bottom w:val="single" w:color="auto" w:sz="4" w:space="0"/>
              <w:right w:val="single" w:color="auto" w:sz="4" w:space="0"/>
            </w:tcBorders>
          </w:tcPr>
          <w:p>
            <w:pPr>
              <w:pStyle w:val="35"/>
            </w:pPr>
            <w:r>
              <w:t>≤ 3</w:t>
            </w:r>
          </w:p>
        </w:tc>
        <w:tc>
          <w:tcPr>
            <w:tcW w:w="2126" w:type="dxa"/>
            <w:tcBorders>
              <w:top w:val="single" w:color="auto" w:sz="4" w:space="0"/>
              <w:left w:val="single" w:color="auto" w:sz="4" w:space="0"/>
              <w:bottom w:val="single" w:color="auto" w:sz="4" w:space="0"/>
              <w:right w:val="single" w:color="auto" w:sz="4" w:space="0"/>
            </w:tcBorders>
          </w:tcPr>
          <w:p>
            <w:pPr>
              <w:pStyle w:val="35"/>
            </w:pPr>
            <w:r>
              <w:t xml:space="preserve">≤ </w:t>
            </w:r>
            <w:r>
              <w:rPr>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nil"/>
              <w:right w:val="single" w:color="auto" w:sz="4" w:space="0"/>
            </w:tcBorders>
            <w:shd w:val="clear" w:color="auto" w:fill="auto"/>
          </w:tcPr>
          <w:p>
            <w:pPr>
              <w:pStyle w:val="35"/>
            </w:pPr>
          </w:p>
        </w:tc>
        <w:tc>
          <w:tcPr>
            <w:tcW w:w="1560" w:type="dxa"/>
            <w:tcBorders>
              <w:top w:val="single" w:color="auto" w:sz="4" w:space="0"/>
              <w:left w:val="single" w:color="auto" w:sz="4" w:space="0"/>
              <w:bottom w:val="single" w:color="auto" w:sz="4" w:space="0"/>
              <w:right w:val="single" w:color="auto" w:sz="4" w:space="0"/>
            </w:tcBorders>
          </w:tcPr>
          <w:p>
            <w:pPr>
              <w:pStyle w:val="35"/>
            </w:pPr>
            <w:r>
              <w:rPr>
                <w:lang w:eastAsia="zh-CN"/>
              </w:rPr>
              <w:t>64</w:t>
            </w:r>
            <w:r>
              <w:t xml:space="preserve"> QAM</w:t>
            </w:r>
          </w:p>
        </w:tc>
        <w:tc>
          <w:tcPr>
            <w:tcW w:w="6945" w:type="dxa"/>
            <w:gridSpan w:val="3"/>
            <w:tcBorders>
              <w:top w:val="single" w:color="auto" w:sz="4" w:space="0"/>
              <w:left w:val="single" w:color="auto" w:sz="4" w:space="0"/>
              <w:bottom w:val="single" w:color="auto" w:sz="4" w:space="0"/>
              <w:right w:val="single" w:color="auto" w:sz="4" w:space="0"/>
            </w:tcBorders>
          </w:tcPr>
          <w:p>
            <w:pPr>
              <w:pStyle w:val="35"/>
            </w:pPr>
            <w:r>
              <w:t xml:space="preserve">≤ </w:t>
            </w:r>
            <w:r>
              <w:rPr>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072" w:type="dxa"/>
            <w:tcBorders>
              <w:top w:val="nil"/>
              <w:left w:val="single" w:color="auto" w:sz="4" w:space="0"/>
              <w:bottom w:val="single" w:color="auto" w:sz="4" w:space="0"/>
              <w:right w:val="single" w:color="auto" w:sz="4" w:space="0"/>
            </w:tcBorders>
            <w:shd w:val="clear" w:color="auto" w:fill="auto"/>
          </w:tcPr>
          <w:p>
            <w:pPr>
              <w:pStyle w:val="35"/>
              <w:rPr>
                <w:lang w:eastAsia="zh-CN"/>
              </w:rPr>
            </w:pPr>
          </w:p>
        </w:tc>
        <w:tc>
          <w:tcPr>
            <w:tcW w:w="1560" w:type="dxa"/>
            <w:tcBorders>
              <w:top w:val="single" w:color="auto" w:sz="4" w:space="0"/>
              <w:left w:val="single" w:color="auto" w:sz="4" w:space="0"/>
              <w:bottom w:val="single" w:color="auto" w:sz="4" w:space="0"/>
              <w:right w:val="single" w:color="auto" w:sz="4" w:space="0"/>
            </w:tcBorders>
          </w:tcPr>
          <w:p>
            <w:pPr>
              <w:pStyle w:val="35"/>
              <w:rPr>
                <w:lang w:eastAsia="zh-CN"/>
              </w:rPr>
            </w:pPr>
            <w:r>
              <w:rPr>
                <w:lang w:eastAsia="zh-CN"/>
              </w:rPr>
              <w:t>256 QAM</w:t>
            </w:r>
          </w:p>
        </w:tc>
        <w:tc>
          <w:tcPr>
            <w:tcW w:w="6945" w:type="dxa"/>
            <w:gridSpan w:val="3"/>
            <w:tcBorders>
              <w:top w:val="single" w:color="auto" w:sz="4" w:space="0"/>
              <w:left w:val="single" w:color="auto" w:sz="4" w:space="0"/>
              <w:bottom w:val="single" w:color="auto" w:sz="4" w:space="0"/>
              <w:right w:val="single" w:color="auto" w:sz="4" w:space="0"/>
            </w:tcBorders>
          </w:tcPr>
          <w:p>
            <w:pPr>
              <w:pStyle w:val="35"/>
            </w:pPr>
            <w:r>
              <w:t xml:space="preserve">≤ </w:t>
            </w:r>
            <w:r>
              <w:rPr>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77" w:type="dxa"/>
            <w:gridSpan w:val="5"/>
            <w:tcBorders>
              <w:top w:val="single" w:color="auto" w:sz="4" w:space="0"/>
              <w:left w:val="single" w:color="auto" w:sz="4" w:space="0"/>
              <w:bottom w:val="single" w:color="auto" w:sz="4" w:space="0"/>
              <w:right w:val="single" w:color="auto" w:sz="4" w:space="0"/>
            </w:tcBorders>
          </w:tcPr>
          <w:p>
            <w:pPr>
              <w:pStyle w:val="47"/>
            </w:pPr>
            <w:r>
              <w:t>NOTE 1:</w:t>
            </w:r>
            <w:r>
              <w:tab/>
            </w:r>
            <w:r>
              <w:t xml:space="preserve">Applicable for UE operating in TDD mode with Pi/2 BPSK modulation and </w:t>
            </w:r>
            <w:bookmarkStart w:id="5" w:name="_Hlk525291220"/>
            <w:r>
              <w:t xml:space="preserve">UE indicates support for UE capability </w:t>
            </w:r>
            <w:r>
              <w:rPr>
                <w:i/>
                <w:lang w:val="en-US"/>
              </w:rPr>
              <w:t>powerBoosting-pi2BPSK</w:t>
            </w:r>
            <w:r>
              <w:rPr>
                <w:i/>
              </w:rPr>
              <w:t xml:space="preserve"> </w:t>
            </w:r>
            <w:bookmarkEnd w:id="5"/>
            <w:r>
              <w:t xml:space="preserve">and if the IE </w:t>
            </w:r>
            <w:r>
              <w:rPr>
                <w:i/>
                <w:lang w:val="en-US"/>
              </w:rPr>
              <w:t>powerBoostPi2BPSK</w:t>
            </w:r>
            <w:r>
              <w:t xml:space="preserve"> is set to 1 and 40 % or less slots in radio frame are used for UL transmission for bands n40, n41, n77, n78 and n79. The reference power of 0 dB MPR is 26 dBm.</w:t>
            </w:r>
          </w:p>
          <w:p>
            <w:pPr>
              <w:pStyle w:val="47"/>
            </w:pPr>
            <w:r>
              <w:t>NOTE 2:</w:t>
            </w:r>
            <w:r>
              <w:tab/>
            </w:r>
            <w:r>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tc>
      </w:tr>
    </w:tbl>
    <w:p/>
    <w:p>
      <w:pPr>
        <w:pStyle w:val="44"/>
      </w:pPr>
      <w:r>
        <w:t>Table 6.2.2-2 Maximum power reduction (MPR) for power class 2</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tcBorders>
              <w:top w:val="single" w:color="auto" w:sz="4" w:space="0"/>
              <w:left w:val="single" w:color="auto" w:sz="4" w:space="0"/>
              <w:bottom w:val="nil"/>
              <w:right w:val="single" w:color="auto" w:sz="4" w:space="0"/>
            </w:tcBorders>
            <w:shd w:val="clear" w:color="auto" w:fill="auto"/>
          </w:tcPr>
          <w:p>
            <w:pPr>
              <w:pStyle w:val="34"/>
            </w:pPr>
            <w:r>
              <w:t>Modulation</w:t>
            </w:r>
          </w:p>
        </w:tc>
        <w:tc>
          <w:tcPr>
            <w:tcW w:w="6251" w:type="dxa"/>
            <w:gridSpan w:val="3"/>
            <w:tcBorders>
              <w:top w:val="single" w:color="auto" w:sz="4" w:space="0"/>
              <w:left w:val="single" w:color="auto" w:sz="4" w:space="0"/>
              <w:bottom w:val="single" w:color="auto" w:sz="4" w:space="0"/>
              <w:right w:val="single" w:color="auto" w:sz="4" w:space="0"/>
            </w:tcBorders>
          </w:tcPr>
          <w:p>
            <w:pPr>
              <w:pStyle w:val="34"/>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tcBorders>
              <w:top w:val="nil"/>
              <w:left w:val="single" w:color="auto" w:sz="4" w:space="0"/>
              <w:bottom w:val="single" w:color="auto" w:sz="4" w:space="0"/>
              <w:right w:val="single" w:color="auto" w:sz="4" w:space="0"/>
            </w:tcBorders>
            <w:shd w:val="clear" w:color="auto" w:fill="auto"/>
          </w:tcPr>
          <w:p>
            <w:pPr>
              <w:pStyle w:val="34"/>
              <w:rPr>
                <w:rFonts w:cs="Arial"/>
              </w:rPr>
            </w:pPr>
          </w:p>
        </w:tc>
        <w:tc>
          <w:tcPr>
            <w:tcW w:w="2097" w:type="dxa"/>
            <w:tcBorders>
              <w:top w:val="single" w:color="auto" w:sz="4" w:space="0"/>
              <w:left w:val="single" w:color="auto" w:sz="4" w:space="0"/>
              <w:bottom w:val="single" w:color="auto" w:sz="4" w:space="0"/>
              <w:right w:val="single" w:color="auto" w:sz="4" w:space="0"/>
            </w:tcBorders>
          </w:tcPr>
          <w:p>
            <w:pPr>
              <w:pStyle w:val="34"/>
            </w:pPr>
            <w:r>
              <w:rPr>
                <w:highlight w:val="yellow"/>
              </w:rPr>
              <w:t>Edge RB allocations</w:t>
            </w:r>
          </w:p>
        </w:tc>
        <w:tc>
          <w:tcPr>
            <w:tcW w:w="2097" w:type="dxa"/>
            <w:tcBorders>
              <w:top w:val="single" w:color="auto" w:sz="4" w:space="0"/>
              <w:left w:val="single" w:color="auto" w:sz="4" w:space="0"/>
              <w:bottom w:val="single" w:color="auto" w:sz="4" w:space="0"/>
              <w:right w:val="single" w:color="auto" w:sz="4" w:space="0"/>
            </w:tcBorders>
          </w:tcPr>
          <w:p>
            <w:pPr>
              <w:pStyle w:val="34"/>
            </w:pPr>
            <w:r>
              <w:t>Outer RB allocations</w:t>
            </w:r>
          </w:p>
        </w:tc>
        <w:tc>
          <w:tcPr>
            <w:tcW w:w="2057" w:type="dxa"/>
            <w:tcBorders>
              <w:top w:val="single" w:color="auto" w:sz="4" w:space="0"/>
              <w:left w:val="single" w:color="auto" w:sz="4" w:space="0"/>
              <w:bottom w:val="single" w:color="auto" w:sz="4" w:space="0"/>
              <w:right w:val="single" w:color="auto" w:sz="4" w:space="0"/>
            </w:tcBorders>
          </w:tcPr>
          <w:p>
            <w:pPr>
              <w:pStyle w:val="34"/>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3" w:type="dxa"/>
            <w:tcBorders>
              <w:top w:val="single" w:color="auto" w:sz="4" w:space="0"/>
              <w:left w:val="single" w:color="auto" w:sz="4" w:space="0"/>
              <w:bottom w:val="nil"/>
              <w:right w:val="single" w:color="auto" w:sz="4" w:space="0"/>
            </w:tcBorders>
            <w:shd w:val="clear" w:color="auto" w:fill="auto"/>
            <w:vAlign w:val="center"/>
          </w:tcPr>
          <w:p>
            <w:pPr>
              <w:pStyle w:val="35"/>
            </w:pPr>
            <w:r>
              <w:t>DFT-s-OFDM</w:t>
            </w: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Pi/2 BPSK</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lang w:val="en-CA"/>
              </w:rPr>
            </w:pPr>
            <w:r>
              <w:rPr>
                <w:rFonts w:cs="Arial"/>
              </w:rPr>
              <w:t>≤ 0.5</w:t>
            </w:r>
          </w:p>
        </w:tc>
        <w:tc>
          <w:tcPr>
            <w:tcW w:w="205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35"/>
            </w:pP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xml:space="preserve">≤ </w:t>
            </w:r>
            <w:r>
              <w:rPr>
                <w:rFonts w:cs="Arial"/>
                <w:lang w:val="en-CA"/>
              </w:rPr>
              <w:t>1</w:t>
            </w:r>
          </w:p>
        </w:tc>
        <w:tc>
          <w:tcPr>
            <w:tcW w:w="205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35"/>
            </w:pP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xml:space="preserve">≤ </w:t>
            </w:r>
            <w:r>
              <w:rPr>
                <w:rFonts w:cs="Arial"/>
                <w:lang w:val="en-CA"/>
              </w:rPr>
              <w:t>2</w:t>
            </w:r>
          </w:p>
        </w:tc>
        <w:tc>
          <w:tcPr>
            <w:tcW w:w="205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xml:space="preserve">≤ </w:t>
            </w:r>
            <w:r>
              <w:rPr>
                <w:rFonts w:cs="Arial"/>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35"/>
            </w:pP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64 QAM</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3.5</w:t>
            </w:r>
          </w:p>
        </w:tc>
        <w:tc>
          <w:tcPr>
            <w:tcW w:w="4154" w:type="dxa"/>
            <w:gridSpan w:val="2"/>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xml:space="preserve">≤ </w:t>
            </w:r>
            <w:r>
              <w:rPr>
                <w:rFonts w:cs="Arial"/>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35"/>
            </w:pP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lang w:eastAsia="zh-CN"/>
              </w:rPr>
              <w:t>256</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single" w:color="auto" w:sz="4" w:space="0"/>
              <w:left w:val="single" w:color="auto" w:sz="4" w:space="0"/>
              <w:bottom w:val="nil"/>
              <w:right w:val="single" w:color="auto" w:sz="4" w:space="0"/>
            </w:tcBorders>
            <w:shd w:val="clear" w:color="auto" w:fill="auto"/>
            <w:vAlign w:val="center"/>
          </w:tcPr>
          <w:p>
            <w:pPr>
              <w:pStyle w:val="35"/>
              <w:rPr>
                <w:rFonts w:cs="Arial"/>
                <w:lang w:eastAsia="zh-CN"/>
              </w:rPr>
            </w:pPr>
            <w:r>
              <w:rPr>
                <w:rFonts w:cs="Arial"/>
              </w:rPr>
              <w:t>CP-OFDM</w:t>
            </w: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xml:space="preserve">≤ </w:t>
            </w:r>
            <w:r>
              <w:rPr>
                <w:rFonts w:cs="Arial"/>
                <w:lang w:val="en-CA"/>
              </w:rPr>
              <w:t>3</w:t>
            </w:r>
          </w:p>
        </w:tc>
        <w:tc>
          <w:tcPr>
            <w:tcW w:w="205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w:t>
            </w:r>
            <w:r>
              <w:rPr>
                <w:rFonts w:cs="Arial"/>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nil"/>
              <w:right w:val="single" w:color="auto" w:sz="4" w:space="0"/>
            </w:tcBorders>
            <w:shd w:val="clear" w:color="auto" w:fill="auto"/>
          </w:tcPr>
          <w:p>
            <w:pPr>
              <w:pStyle w:val="35"/>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3</w:t>
            </w:r>
          </w:p>
        </w:tc>
        <w:tc>
          <w:tcPr>
            <w:tcW w:w="205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xml:space="preserve">≤ </w:t>
            </w:r>
            <w:r>
              <w:rPr>
                <w:rFonts w:cs="Arial"/>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3" w:type="dxa"/>
            <w:tcBorders>
              <w:top w:val="nil"/>
              <w:left w:val="single" w:color="auto" w:sz="4" w:space="0"/>
              <w:bottom w:val="nil"/>
              <w:right w:val="single" w:color="auto" w:sz="4" w:space="0"/>
            </w:tcBorders>
            <w:shd w:val="clear" w:color="auto" w:fill="auto"/>
          </w:tcPr>
          <w:p>
            <w:pPr>
              <w:pStyle w:val="35"/>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lang w:eastAsia="zh-CN"/>
              </w:rPr>
              <w:t>64</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xml:space="preserve">≤ </w:t>
            </w:r>
            <w:r>
              <w:rPr>
                <w:rFonts w:cs="Arial"/>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tcBorders>
              <w:top w:val="nil"/>
              <w:left w:val="single" w:color="auto" w:sz="4" w:space="0"/>
              <w:bottom w:val="single" w:color="auto" w:sz="4" w:space="0"/>
              <w:right w:val="single" w:color="auto" w:sz="4" w:space="0"/>
            </w:tcBorders>
            <w:shd w:val="clear" w:color="auto" w:fill="auto"/>
          </w:tcPr>
          <w:p>
            <w:pPr>
              <w:pStyle w:val="35"/>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35"/>
              <w:rPr>
                <w:rFonts w:cs="Arial"/>
                <w:lang w:eastAsia="zh-CN"/>
              </w:rPr>
            </w:pPr>
            <w:r>
              <w:rPr>
                <w:rFonts w:cs="Arial"/>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 xml:space="preserve">≤ </w:t>
            </w:r>
            <w:r>
              <w:rPr>
                <w:rFonts w:cs="Arial"/>
                <w:lang w:val="en-CA"/>
              </w:rPr>
              <w:t>6.5</w:t>
            </w:r>
          </w:p>
        </w:tc>
      </w:tr>
    </w:tbl>
    <w:p>
      <w:pPr>
        <w:spacing w:line="240" w:lineRule="auto"/>
        <w:outlineLvl w:val="1"/>
        <w:rPr>
          <w:sz w:val="20"/>
        </w:rPr>
      </w:pPr>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 MU and TT</w:t>
      </w:r>
    </w:p>
    <w:p>
      <w:pPr>
        <w:spacing w:line="240" w:lineRule="auto"/>
        <w:rPr>
          <w:rFonts w:hint="default" w:eastAsiaTheme="minorEastAsia"/>
          <w:sz w:val="20"/>
          <w:lang w:val="en-US" w:eastAsia="zh-CN"/>
        </w:rPr>
      </w:pPr>
      <w:r>
        <w:rPr>
          <w:rFonts w:hint="eastAsia" w:eastAsiaTheme="minorEastAsia"/>
          <w:sz w:val="20"/>
          <w:lang w:val="en-US" w:eastAsia="zh-CN"/>
        </w:rPr>
        <w:t xml:space="preserve">Since NCR-Fwd part is supposed to the same as Rel-17 RF repeater, there should be also no difference from the conformance testing perspective, therefore we propose to reuse the MU and TT value defined in Rel-17 NCR as baseline </w:t>
      </w:r>
      <w:r>
        <w:rPr>
          <w:rFonts w:hint="eastAsia" w:eastAsiaTheme="minorEastAsia"/>
          <w:sz w:val="20"/>
        </w:rPr>
        <w:t>for NCR-Fwd type 1-C</w:t>
      </w:r>
      <w:r>
        <w:rPr>
          <w:rFonts w:hint="eastAsia" w:eastAsiaTheme="minorEastAsia"/>
          <w:sz w:val="20"/>
          <w:lang w:val="en-US" w:eastAsia="zh-CN"/>
        </w:rPr>
        <w:t>/H</w:t>
      </w:r>
      <w:r>
        <w:rPr>
          <w:rFonts w:hint="eastAsia" w:eastAsiaTheme="minorEastAsia"/>
          <w:sz w:val="20"/>
        </w:rPr>
        <w:t xml:space="preserve"> and type 2-O.</w:t>
      </w:r>
    </w:p>
    <w:p>
      <w:pPr>
        <w:spacing w:line="240" w:lineRule="auto"/>
        <w:rPr>
          <w:rFonts w:hint="eastAsia" w:eastAsiaTheme="minorEastAsia"/>
          <w:sz w:val="20"/>
        </w:rPr>
      </w:pPr>
      <w:r>
        <w:rPr>
          <w:rFonts w:hint="eastAsia" w:eastAsiaTheme="minorEastAsia"/>
          <w:b/>
          <w:bCs/>
          <w:sz w:val="20"/>
        </w:rPr>
        <w:t xml:space="preserve">Proposal </w:t>
      </w:r>
      <w:r>
        <w:rPr>
          <w:rFonts w:hint="eastAsia" w:eastAsiaTheme="minorEastAsia"/>
          <w:b/>
          <w:bCs/>
          <w:sz w:val="20"/>
          <w:lang w:val="en-US" w:eastAsia="zh-CN"/>
        </w:rPr>
        <w:t>2</w:t>
      </w:r>
      <w:r>
        <w:rPr>
          <w:rFonts w:hint="eastAsia" w:eastAsiaTheme="minorEastAsia"/>
          <w:b/>
          <w:bCs/>
          <w:sz w:val="20"/>
        </w:rPr>
        <w:t>:</w:t>
      </w:r>
      <w:r>
        <w:rPr>
          <w:rFonts w:hint="eastAsia" w:eastAsiaTheme="minorEastAsia"/>
          <w:sz w:val="20"/>
        </w:rPr>
        <w:t xml:space="preserve"> to use the MU and TT value defined in Rel-17 </w:t>
      </w:r>
      <w:r>
        <w:rPr>
          <w:rFonts w:hint="eastAsia" w:eastAsiaTheme="minorEastAsia"/>
          <w:sz w:val="20"/>
          <w:lang w:eastAsia="zh-CN"/>
        </w:rPr>
        <w:t>NCR</w:t>
      </w:r>
      <w:r>
        <w:rPr>
          <w:rFonts w:hint="eastAsia" w:eastAsiaTheme="minorEastAsia"/>
          <w:sz w:val="20"/>
        </w:rPr>
        <w:t xml:space="preserve"> as </w:t>
      </w:r>
      <w:r>
        <w:rPr>
          <w:rFonts w:eastAsiaTheme="minorEastAsia"/>
          <w:sz w:val="20"/>
        </w:rPr>
        <w:t>baseline</w:t>
      </w:r>
      <w:r>
        <w:rPr>
          <w:rFonts w:hint="eastAsia" w:eastAsiaTheme="minorEastAsia"/>
          <w:sz w:val="20"/>
        </w:rPr>
        <w:t xml:space="preserve"> for NCR-Fwd type 1-C</w:t>
      </w:r>
      <w:r>
        <w:rPr>
          <w:rFonts w:hint="eastAsia" w:eastAsiaTheme="minorEastAsia"/>
          <w:sz w:val="20"/>
          <w:lang w:val="en-US" w:eastAsia="zh-CN"/>
        </w:rPr>
        <w:t>/H</w:t>
      </w:r>
      <w:r>
        <w:rPr>
          <w:rFonts w:hint="eastAsia" w:eastAsiaTheme="minorEastAsia"/>
          <w:sz w:val="20"/>
        </w:rPr>
        <w:t xml:space="preserve"> and type 2-O.</w:t>
      </w:r>
    </w:p>
    <w:p>
      <w:pPr>
        <w:spacing w:line="240" w:lineRule="auto"/>
        <w:rPr>
          <w:rFonts w:hint="default" w:eastAsiaTheme="minorEastAsia"/>
          <w:sz w:val="20"/>
          <w:lang w:val="en-US" w:eastAsia="zh-CN"/>
        </w:rPr>
      </w:pPr>
      <w:r>
        <w:rPr>
          <w:rFonts w:hint="eastAsia" w:eastAsiaTheme="minorEastAsia"/>
          <w:sz w:val="20"/>
          <w:lang w:val="en-US" w:eastAsia="zh-CN"/>
        </w:rPr>
        <w:t>However it</w:t>
      </w:r>
      <w:r>
        <w:rPr>
          <w:rFonts w:hint="default" w:eastAsiaTheme="minorEastAsia"/>
          <w:sz w:val="20"/>
          <w:lang w:val="en-US" w:eastAsia="zh-CN"/>
        </w:rPr>
        <w:t>’</w:t>
      </w:r>
      <w:r>
        <w:rPr>
          <w:rFonts w:hint="eastAsia" w:eastAsiaTheme="minorEastAsia"/>
          <w:sz w:val="20"/>
          <w:lang w:val="en-US" w:eastAsia="zh-CN"/>
        </w:rPr>
        <w:t xml:space="preserve">s well known that NCR is supposed to have one more hardware entities NCR-MT in addition to NCR-FWD and there are also some specific RF requirement defined for NCR-FWD. At least from our understanding, for WA NCR-MT, MU and TT values could be reused from BS MU/TT requirement as defined in TS 38.141-1/2, however for LA NCR-MT, the test tolerance requirement could be reused from TS38.521-1/2. </w:t>
      </w:r>
    </w:p>
    <w:p>
      <w:pPr>
        <w:spacing w:line="240" w:lineRule="auto"/>
        <w:rPr>
          <w:rFonts w:hint="default" w:eastAsiaTheme="minorEastAsia"/>
          <w:sz w:val="20"/>
          <w:lang w:val="en-US" w:eastAsia="zh-CN"/>
        </w:rPr>
      </w:pPr>
      <w:r>
        <w:rPr>
          <w:rFonts w:hint="eastAsia" w:eastAsiaTheme="minorEastAsia"/>
          <w:b/>
          <w:bCs/>
          <w:sz w:val="20"/>
          <w:lang w:val="en-US" w:eastAsia="zh-CN"/>
        </w:rPr>
        <w:t>Proposal 3:</w:t>
      </w:r>
      <w:r>
        <w:rPr>
          <w:rFonts w:hint="eastAsia" w:eastAsiaTheme="minorEastAsia"/>
          <w:sz w:val="20"/>
          <w:lang w:val="en-US" w:eastAsia="zh-CN"/>
        </w:rPr>
        <w:t xml:space="preserve"> for WA NCR-MT, MU and TT values could be reused from BS MU/TT requirement as defined in TS 38.141-1/2, however for LA NCR-MT, the test tolerance requirement could be reused from TS38.521-1/2.</w:t>
      </w:r>
    </w:p>
    <w:p>
      <w:pPr>
        <w:pStyle w:val="44"/>
        <w:rPr>
          <w:rFonts w:hint="default" w:eastAsia="宋体"/>
          <w:lang w:val="en-US" w:eastAsia="zh-CN"/>
        </w:rPr>
      </w:pPr>
      <w:r>
        <w:t xml:space="preserve">Table </w:t>
      </w:r>
      <w:r>
        <w:rPr>
          <w:rFonts w:hint="eastAsia"/>
          <w:lang w:val="en-US" w:eastAsia="zh-CN"/>
        </w:rPr>
        <w:t>2</w:t>
      </w:r>
      <w:r>
        <w:t>.2-</w:t>
      </w:r>
      <w:r>
        <w:rPr>
          <w:rFonts w:hint="eastAsia"/>
          <w:lang w:val="en-US" w:eastAsia="zh-CN"/>
        </w:rPr>
        <w:t>1</w:t>
      </w:r>
      <w:r>
        <w:t>: Maximum Test System uncertainty for conducted characteristics tests</w:t>
      </w:r>
      <w:r>
        <w:rPr>
          <w:rFonts w:hint="eastAsia" w:eastAsia="宋体"/>
          <w:lang w:val="en-US" w:eastAsia="zh-CN"/>
        </w:rPr>
        <w:t xml:space="preserve"> for NCR</w:t>
      </w:r>
    </w:p>
    <w:tbl>
      <w:tblPr>
        <w:tblStyle w:val="23"/>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7"/>
        <w:gridCol w:w="4537"/>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Borders>
              <w:top w:val="single" w:color="auto" w:sz="4" w:space="0"/>
              <w:left w:val="single" w:color="auto" w:sz="4" w:space="0"/>
              <w:bottom w:val="single" w:color="auto" w:sz="4" w:space="0"/>
              <w:right w:val="single" w:color="auto" w:sz="4" w:space="0"/>
            </w:tcBorders>
          </w:tcPr>
          <w:p>
            <w:pPr>
              <w:pStyle w:val="34"/>
            </w:pPr>
            <w:r>
              <w:t>Clause</w:t>
            </w:r>
          </w:p>
        </w:tc>
        <w:tc>
          <w:tcPr>
            <w:tcW w:w="4536" w:type="dxa"/>
            <w:tcBorders>
              <w:top w:val="single" w:color="auto" w:sz="4" w:space="0"/>
              <w:left w:val="single" w:color="auto" w:sz="4" w:space="0"/>
              <w:bottom w:val="single" w:color="auto" w:sz="4" w:space="0"/>
              <w:right w:val="single" w:color="auto" w:sz="4" w:space="0"/>
            </w:tcBorders>
          </w:tcPr>
          <w:p>
            <w:pPr>
              <w:pStyle w:val="34"/>
            </w:pPr>
            <w:r>
              <w:t>Maximum Test System Uncertainty</w:t>
            </w:r>
          </w:p>
        </w:tc>
        <w:tc>
          <w:tcPr>
            <w:tcW w:w="2721" w:type="dxa"/>
            <w:tcBorders>
              <w:top w:val="single" w:color="auto" w:sz="4" w:space="0"/>
              <w:left w:val="single" w:color="auto" w:sz="4" w:space="0"/>
              <w:bottom w:val="single" w:color="auto" w:sz="4" w:space="0"/>
              <w:right w:val="single" w:color="auto" w:sz="4" w:space="0"/>
            </w:tcBorders>
          </w:tcPr>
          <w:p>
            <w:pPr>
              <w:pStyle w:val="34"/>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pPr>
            <w:r>
              <w:t xml:space="preserve">6.2 </w:t>
            </w:r>
            <w:r>
              <w:rPr>
                <w:rFonts w:hint="eastAsia"/>
                <w:lang w:eastAsia="zh-CN"/>
              </w:rPr>
              <w:t>NCR</w:t>
            </w:r>
            <w:r>
              <w:rPr>
                <w:lang w:eastAsia="zh-CN"/>
              </w:rPr>
              <w:t xml:space="preserve"> output power</w:t>
            </w:r>
            <w:r>
              <w:t xml:space="preserve"> </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eastAsia="宋体" w:cs="v4.2.0"/>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pPr>
            <w:r>
              <w:rPr>
                <w:lang w:eastAsia="ja-JP"/>
              </w:rPr>
              <w:t xml:space="preserve">6.3 </w:t>
            </w:r>
            <w:r>
              <w:rPr>
                <w:lang w:eastAsia="zh-CN"/>
              </w:rPr>
              <w:t>Frequency stability</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lang w:eastAsia="ja-JP"/>
              </w:rPr>
            </w:pPr>
            <w:r>
              <w:rPr>
                <w:lang w:eastAsia="ja-JP"/>
              </w:rPr>
              <w:t xml:space="preserve">6.4 </w:t>
            </w:r>
            <w:r>
              <w:rPr>
                <w:rFonts w:cs="v4.2.0"/>
              </w:rPr>
              <w:t>Out of band gain</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lang w:eastAsia="ja-JP"/>
              </w:rPr>
            </w:pPr>
            <w:r>
              <w:rPr>
                <w:lang w:eastAsia="ja-JP"/>
              </w:rPr>
              <w:t xml:space="preserve">6.5.2 </w:t>
            </w:r>
            <w:r>
              <w:t>ACLR/ CACLR</w:t>
            </w:r>
          </w:p>
          <w:p>
            <w:pPr>
              <w:pStyle w:val="36"/>
              <w:spacing w:line="256" w:lineRule="auto"/>
              <w:rPr>
                <w:lang w:eastAsia="ja-JP"/>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eastAsia="宋体" w:cs="v4.2.0"/>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lang w:eastAsia="ja-JP"/>
              </w:rPr>
            </w:pPr>
            <w:r>
              <w:rPr>
                <w:rFonts w:cs="v4.2.0"/>
              </w:rPr>
              <w:t>6.5.3 Operating band unwanted emission</w:t>
            </w:r>
            <w:r>
              <w:rPr>
                <w:rFonts w:cs="v4.2.0"/>
              </w:rPr>
              <w:br w:type="textWrapping"/>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rPr>
            </w:pPr>
            <w:r>
              <w:rPr>
                <w:rFonts w:cs="v4.2.0"/>
              </w:rPr>
              <w:t>6.5.4 S</w:t>
            </w:r>
            <w:r>
              <w:t>purious emissions</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Symbol" w:hAnsi="Symbol"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rPr>
            </w:pPr>
            <w:r>
              <w:rPr>
                <w:rFonts w:cs="v4.2.0"/>
              </w:rPr>
              <w:t>6.6 EVM</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rPr>
            </w:pPr>
            <w:r>
              <w:rPr>
                <w:rFonts w:cs="v4.2.0"/>
              </w:rPr>
              <w:t>6.7 Input intermodulation</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rPr>
            </w:pPr>
            <w:r>
              <w:t>6.8 Output intermodulation</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pPr>
            <w:r>
              <w:t>6.9 ACRR</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Symbol" w:hAnsi="Symbol"/>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pPr>
            <w:r>
              <w:t xml:space="preserve">6.10.1 </w:t>
            </w:r>
            <w:r>
              <w:rPr>
                <w:lang w:eastAsia="zh-CN"/>
              </w:rPr>
              <w:t>Transmit ON/OFF power</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r>
              <w:rPr>
                <w:rFonts w:ascii="Arial" w:hAnsi="Arial" w:cs="v4.2.0"/>
              </w:rPr>
              <w:t xml:space="preserve">6.10.1 </w:t>
            </w:r>
            <w:r>
              <w:rPr>
                <w:rFonts w:hint="eastAsia" w:ascii="Arial" w:hAnsi="Arial" w:cs="v4.2.0"/>
                <w:lang w:val="en-US" w:eastAsia="zh-CN"/>
              </w:rPr>
              <w:t>Transmitter</w:t>
            </w:r>
            <w:r>
              <w:rPr>
                <w:rFonts w:ascii="Arial" w:hAnsi="Arial" w:cs="v4.2.0"/>
              </w:rPr>
              <w:t xml:space="preserve"> transient period</w:t>
            </w: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lang w:eastAsia="sv-SE"/>
              </w:rPr>
            </w:pPr>
            <w:r>
              <w:rPr>
                <w:rFonts w:cs="v4.2.0"/>
                <w:kern w:val="2"/>
                <w:lang w:eastAsia="ja-JP"/>
              </w:rPr>
              <w:t>N/A</w:t>
            </w: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6" w:name="_Toc155781154"/>
            <w:bookmarkStart w:id="7" w:name="_Toc155428136"/>
            <w:r>
              <w:rPr>
                <w:rFonts w:hint="eastAsia" w:ascii="Arial" w:hAnsi="Arial" w:cs="v4.2.0"/>
                <w:lang w:val="en-US" w:eastAsia="zh-CN"/>
              </w:rPr>
              <w:t>6</w:t>
            </w:r>
            <w:r>
              <w:rPr>
                <w:rFonts w:ascii="Arial" w:hAnsi="Arial" w:cs="v4.2.0"/>
              </w:rPr>
              <w:t>.</w:t>
            </w:r>
            <w:r>
              <w:rPr>
                <w:rFonts w:hint="eastAsia" w:ascii="Arial" w:hAnsi="Arial" w:cs="v4.2.0"/>
                <w:lang w:val="en-US" w:eastAsia="zh-CN"/>
              </w:rPr>
              <w:t>11</w:t>
            </w:r>
            <w:r>
              <w:rPr>
                <w:rFonts w:ascii="Arial" w:hAnsi="Arial" w:cs="v4.2.0"/>
              </w:rPr>
              <w:tab/>
            </w:r>
            <w:r>
              <w:rPr>
                <w:rFonts w:hint="eastAsia" w:ascii="Arial" w:hAnsi="Arial" w:cs="v4.2.0"/>
                <w:lang w:val="en-US" w:eastAsia="zh-CN"/>
              </w:rPr>
              <w:t>O</w:t>
            </w:r>
            <w:r>
              <w:rPr>
                <w:rFonts w:ascii="Arial" w:hAnsi="Arial" w:cs="v4.2.0"/>
              </w:rPr>
              <w:t>utput power dynamics</w:t>
            </w:r>
            <w:bookmarkEnd w:id="6"/>
            <w:bookmarkEnd w:id="7"/>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r>
              <w:rPr>
                <w:rFonts w:hint="eastAsia" w:ascii="Arial" w:hAnsi="Arial" w:cs="v4.2.0"/>
                <w:lang w:val="en-US" w:eastAsia="zh-CN"/>
              </w:rPr>
              <w:t>6</w:t>
            </w:r>
            <w:r>
              <w:rPr>
                <w:rFonts w:ascii="Arial" w:hAnsi="Arial" w:cs="v4.2.0"/>
              </w:rPr>
              <w:t>.</w:t>
            </w:r>
            <w:r>
              <w:rPr>
                <w:rFonts w:hint="eastAsia" w:ascii="Arial" w:hAnsi="Arial" w:cs="v4.2.0"/>
                <w:lang w:val="en-US" w:eastAsia="zh-CN"/>
              </w:rPr>
              <w:t>12</w:t>
            </w:r>
            <w:r>
              <w:rPr>
                <w:rFonts w:ascii="Arial" w:hAnsi="Arial" w:cs="v4.2.0"/>
              </w:rPr>
              <w:tab/>
            </w:r>
            <w:r>
              <w:rPr>
                <w:rFonts w:hint="eastAsia" w:ascii="Arial" w:hAnsi="Arial" w:cs="v4.2.0"/>
                <w:lang w:val="en-US" w:eastAsia="zh-CN"/>
              </w:rPr>
              <w:t>T</w:t>
            </w:r>
            <w:r>
              <w:rPr>
                <w:rFonts w:ascii="Arial" w:hAnsi="Arial" w:cs="v4.2.0"/>
              </w:rPr>
              <w:t>ransmit signal quality</w:t>
            </w:r>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8" w:name="_Toc75467366"/>
            <w:bookmarkStart w:id="9" w:name="_Toc76509388"/>
            <w:bookmarkStart w:id="10" w:name="_Toc45888316"/>
            <w:bookmarkStart w:id="11" w:name="_Toc45888915"/>
            <w:bookmarkStart w:id="12" w:name="_Toc21344384"/>
            <w:bookmarkStart w:id="13" w:name="_Toc29801871"/>
            <w:bookmarkStart w:id="14" w:name="_Toc69084356"/>
            <w:bookmarkStart w:id="15" w:name="_Toc36107662"/>
            <w:bookmarkStart w:id="16" w:name="_Toc61367611"/>
            <w:bookmarkStart w:id="17" w:name="_Toc155428145"/>
            <w:bookmarkStart w:id="18" w:name="_Toc83580717"/>
            <w:bookmarkStart w:id="19" w:name="_Toc68230943"/>
            <w:bookmarkStart w:id="20" w:name="_Toc155781163"/>
            <w:bookmarkStart w:id="21" w:name="_Toc29802295"/>
            <w:bookmarkStart w:id="22" w:name="_Toc37251436"/>
            <w:bookmarkStart w:id="23" w:name="_Toc76718378"/>
            <w:bookmarkStart w:id="24" w:name="_Toc61372994"/>
            <w:bookmarkStart w:id="25" w:name="_Toc84405226"/>
            <w:bookmarkStart w:id="26" w:name="_Toc84413835"/>
            <w:bookmarkStart w:id="27" w:name="_Toc29802920"/>
            <w:r>
              <w:rPr>
                <w:rFonts w:hint="eastAsia" w:ascii="Arial" w:hAnsi="Arial" w:cs="v4.2.0"/>
                <w:lang w:val="en-US" w:eastAsia="zh-CN"/>
              </w:rPr>
              <w:t>6.13</w:t>
            </w:r>
            <w:r>
              <w:rPr>
                <w:rFonts w:ascii="Arial" w:hAnsi="Arial" w:cs="v4.2.0"/>
              </w:rPr>
              <w:tab/>
            </w:r>
            <w:r>
              <w:rPr>
                <w:rFonts w:ascii="Arial" w:hAnsi="Arial" w:cs="v4.2.0"/>
              </w:rPr>
              <w:t>Transmit intermodulation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28" w:name="_Toc37254769"/>
            <w:bookmarkStart w:id="29" w:name="_Toc19739"/>
            <w:bookmarkStart w:id="30" w:name="_Toc155781168"/>
            <w:bookmarkStart w:id="31" w:name="_Toc21343080"/>
            <w:bookmarkStart w:id="32" w:name="_Toc29770046"/>
            <w:bookmarkStart w:id="33" w:name="_Toc29799545"/>
            <w:bookmarkStart w:id="34" w:name="_Toc37255412"/>
            <w:bookmarkStart w:id="35" w:name="_Toc155428150"/>
            <w:r>
              <w:rPr>
                <w:rFonts w:hint="eastAsia" w:ascii="Arial" w:hAnsi="Arial" w:cs="v4.2.0"/>
                <w:lang w:val="en-US" w:eastAsia="zh-CN"/>
              </w:rPr>
              <w:t>6</w:t>
            </w:r>
            <w:r>
              <w:rPr>
                <w:rFonts w:ascii="Arial" w:hAnsi="Arial" w:cs="v4.2.0"/>
              </w:rPr>
              <w:t>.</w:t>
            </w:r>
            <w:r>
              <w:rPr>
                <w:rFonts w:hint="eastAsia" w:ascii="Arial" w:hAnsi="Arial" w:cs="v4.2.0"/>
                <w:lang w:val="en-US" w:eastAsia="zh-CN"/>
              </w:rPr>
              <w:t>14</w:t>
            </w:r>
            <w:r>
              <w:rPr>
                <w:rFonts w:ascii="Arial" w:hAnsi="Arial" w:cs="v4.2.0"/>
              </w:rPr>
              <w:tab/>
            </w:r>
            <w:r>
              <w:rPr>
                <w:rFonts w:hint="eastAsia" w:ascii="Arial" w:hAnsi="Arial" w:cs="v4.2.0"/>
                <w:lang w:val="en-US" w:eastAsia="zh-CN"/>
              </w:rPr>
              <w:t>Conducted r</w:t>
            </w:r>
            <w:r>
              <w:rPr>
                <w:rFonts w:ascii="Arial" w:hAnsi="Arial" w:cs="v4.2.0"/>
              </w:rPr>
              <w:t>eference sensitivity</w:t>
            </w:r>
            <w:bookmarkEnd w:id="28"/>
            <w:bookmarkEnd w:id="29"/>
            <w:bookmarkEnd w:id="30"/>
            <w:bookmarkEnd w:id="31"/>
            <w:bookmarkEnd w:id="32"/>
            <w:bookmarkEnd w:id="33"/>
            <w:bookmarkEnd w:id="34"/>
            <w:bookmarkEnd w:id="35"/>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36" w:name="_Toc8296"/>
            <w:bookmarkStart w:id="37" w:name="_Toc29799573"/>
            <w:bookmarkStart w:id="38" w:name="_Toc21343108"/>
            <w:bookmarkStart w:id="39" w:name="_Toc155428154"/>
            <w:bookmarkStart w:id="40" w:name="_Toc155781172"/>
            <w:bookmarkStart w:id="41" w:name="_Toc37254797"/>
            <w:bookmarkStart w:id="42" w:name="_Toc37255440"/>
            <w:bookmarkStart w:id="43" w:name="_Toc29770074"/>
            <w:r>
              <w:rPr>
                <w:rFonts w:hint="eastAsia" w:ascii="Arial" w:hAnsi="Arial" w:cs="v4.2.0"/>
                <w:lang w:val="en-US" w:eastAsia="zh-CN"/>
              </w:rPr>
              <w:t>6</w:t>
            </w:r>
            <w:r>
              <w:rPr>
                <w:rFonts w:ascii="Arial" w:hAnsi="Arial" w:cs="v4.2.0"/>
              </w:rPr>
              <w:t>.</w:t>
            </w:r>
            <w:r>
              <w:rPr>
                <w:rFonts w:hint="eastAsia" w:ascii="Arial" w:hAnsi="Arial" w:cs="v4.2.0"/>
                <w:lang w:val="en-US" w:eastAsia="zh-CN"/>
              </w:rPr>
              <w:t>15</w:t>
            </w:r>
            <w:r>
              <w:rPr>
                <w:rFonts w:ascii="Arial" w:hAnsi="Arial" w:cs="v4.2.0"/>
              </w:rPr>
              <w:tab/>
            </w:r>
            <w:r>
              <w:rPr>
                <w:rFonts w:hint="eastAsia" w:ascii="Arial" w:hAnsi="Arial" w:cs="v4.2.0"/>
                <w:lang w:val="en-US" w:eastAsia="zh-CN"/>
              </w:rPr>
              <w:t>Conducted m</w:t>
            </w:r>
            <w:r>
              <w:rPr>
                <w:rFonts w:ascii="Arial" w:hAnsi="Arial" w:cs="v4.2.0"/>
              </w:rPr>
              <w:t>aximum input level</w:t>
            </w:r>
            <w:bookmarkEnd w:id="36"/>
            <w:bookmarkEnd w:id="37"/>
            <w:bookmarkEnd w:id="38"/>
            <w:bookmarkEnd w:id="39"/>
            <w:bookmarkEnd w:id="40"/>
            <w:bookmarkEnd w:id="41"/>
            <w:bookmarkEnd w:id="42"/>
            <w:bookmarkEnd w:id="43"/>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44" w:name="_Toc155428155"/>
            <w:bookmarkStart w:id="45" w:name="_Toc23673"/>
            <w:bookmarkStart w:id="46" w:name="_Toc155781173"/>
            <w:r>
              <w:rPr>
                <w:rFonts w:hint="eastAsia" w:ascii="Arial" w:hAnsi="Arial" w:cs="v4.2.0"/>
                <w:lang w:val="en-US" w:eastAsia="zh-CN"/>
              </w:rPr>
              <w:t>6</w:t>
            </w:r>
            <w:r>
              <w:rPr>
                <w:rFonts w:ascii="Arial" w:hAnsi="Arial" w:cs="v4.2.0"/>
              </w:rPr>
              <w:t>.</w:t>
            </w:r>
            <w:r>
              <w:rPr>
                <w:rFonts w:hint="eastAsia" w:ascii="Arial" w:hAnsi="Arial" w:cs="v4.2.0"/>
                <w:lang w:val="en-US" w:eastAsia="zh-CN"/>
              </w:rPr>
              <w:t>16</w:t>
            </w:r>
            <w:r>
              <w:rPr>
                <w:rFonts w:ascii="Arial" w:hAnsi="Arial" w:cs="v4.2.0"/>
              </w:rPr>
              <w:tab/>
            </w:r>
            <w:r>
              <w:rPr>
                <w:rFonts w:hint="eastAsia" w:ascii="Arial" w:hAnsi="Arial" w:cs="v4.2.0"/>
                <w:lang w:val="en-US" w:eastAsia="zh-CN"/>
              </w:rPr>
              <w:t>Conducted a</w:t>
            </w:r>
            <w:r>
              <w:rPr>
                <w:rFonts w:ascii="Arial" w:hAnsi="Arial" w:cs="v4.2.0"/>
              </w:rPr>
              <w:t>djacent channel selectivity</w:t>
            </w:r>
            <w:bookmarkEnd w:id="44"/>
            <w:bookmarkEnd w:id="45"/>
            <w:bookmarkEnd w:id="46"/>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47" w:name="_Toc155428160"/>
            <w:bookmarkStart w:id="48" w:name="_Toc22860"/>
            <w:bookmarkStart w:id="49" w:name="_Toc21343119"/>
            <w:bookmarkStart w:id="50" w:name="_Toc37255451"/>
            <w:bookmarkStart w:id="51" w:name="_Toc155781178"/>
            <w:bookmarkStart w:id="52" w:name="_Toc29770085"/>
            <w:bookmarkStart w:id="53" w:name="_Toc37254808"/>
            <w:bookmarkStart w:id="54" w:name="_Toc29799584"/>
            <w:r>
              <w:rPr>
                <w:rFonts w:hint="eastAsia" w:ascii="Arial" w:hAnsi="Arial" w:cs="v4.2.0"/>
                <w:lang w:val="en-US" w:eastAsia="zh-CN"/>
              </w:rPr>
              <w:t>6</w:t>
            </w:r>
            <w:r>
              <w:rPr>
                <w:rFonts w:ascii="Arial" w:hAnsi="Arial" w:cs="v4.2.0"/>
              </w:rPr>
              <w:t>.</w:t>
            </w:r>
            <w:r>
              <w:rPr>
                <w:rFonts w:hint="eastAsia" w:ascii="Arial" w:hAnsi="Arial" w:cs="v4.2.0"/>
                <w:lang w:val="en-US" w:eastAsia="zh-CN"/>
              </w:rPr>
              <w:t>17</w:t>
            </w:r>
            <w:r>
              <w:rPr>
                <w:rFonts w:ascii="Arial" w:hAnsi="Arial" w:cs="v4.2.0"/>
              </w:rPr>
              <w:tab/>
            </w:r>
            <w:r>
              <w:rPr>
                <w:rFonts w:hint="eastAsia" w:ascii="Arial" w:hAnsi="Arial" w:cs="v4.2.0"/>
                <w:lang w:val="en-US" w:eastAsia="zh-CN"/>
              </w:rPr>
              <w:t>Conducted b</w:t>
            </w:r>
            <w:r>
              <w:rPr>
                <w:rFonts w:ascii="Arial" w:hAnsi="Arial" w:cs="v4.2.0"/>
              </w:rPr>
              <w:t>locking characteristics</w:t>
            </w:r>
            <w:bookmarkEnd w:id="47"/>
            <w:bookmarkEnd w:id="48"/>
            <w:bookmarkEnd w:id="49"/>
            <w:bookmarkEnd w:id="50"/>
            <w:bookmarkEnd w:id="51"/>
            <w:bookmarkEnd w:id="52"/>
            <w:bookmarkEnd w:id="53"/>
            <w:bookmarkEnd w:id="54"/>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55" w:name="_Toc21343144"/>
            <w:bookmarkStart w:id="56" w:name="_Toc37254833"/>
            <w:bookmarkStart w:id="57" w:name="_Toc37255476"/>
            <w:bookmarkStart w:id="58" w:name="_Toc155781182"/>
            <w:bookmarkStart w:id="59" w:name="_Toc155428164"/>
            <w:bookmarkStart w:id="60" w:name="_Toc29770110"/>
            <w:bookmarkStart w:id="61" w:name="_Toc29799609"/>
            <w:bookmarkStart w:id="62" w:name="_Toc5867"/>
            <w:r>
              <w:rPr>
                <w:rFonts w:hint="eastAsia" w:ascii="Arial" w:hAnsi="Arial" w:cs="v4.2.0"/>
                <w:lang w:val="en-US" w:eastAsia="zh-CN"/>
              </w:rPr>
              <w:t>6</w:t>
            </w:r>
            <w:r>
              <w:rPr>
                <w:rFonts w:ascii="Arial" w:hAnsi="Arial" w:cs="v4.2.0"/>
              </w:rPr>
              <w:t>.</w:t>
            </w:r>
            <w:r>
              <w:rPr>
                <w:rFonts w:hint="eastAsia" w:ascii="Arial" w:hAnsi="Arial" w:cs="v4.2.0"/>
                <w:lang w:val="en-US" w:eastAsia="zh-CN"/>
              </w:rPr>
              <w:t>18</w:t>
            </w:r>
            <w:r>
              <w:rPr>
                <w:rFonts w:ascii="Arial" w:hAnsi="Arial" w:cs="v4.2.0"/>
              </w:rPr>
              <w:tab/>
            </w:r>
            <w:r>
              <w:rPr>
                <w:rFonts w:hint="eastAsia" w:ascii="Arial" w:hAnsi="Arial" w:cs="v4.2.0"/>
                <w:lang w:val="en-US" w:eastAsia="zh-CN"/>
              </w:rPr>
              <w:t>Conducted s</w:t>
            </w:r>
            <w:r>
              <w:rPr>
                <w:rFonts w:ascii="Arial" w:hAnsi="Arial" w:cs="v4.2.0"/>
              </w:rPr>
              <w:t>purious response</w:t>
            </w:r>
            <w:bookmarkEnd w:id="55"/>
            <w:bookmarkEnd w:id="56"/>
            <w:bookmarkEnd w:id="57"/>
            <w:bookmarkEnd w:id="58"/>
            <w:bookmarkEnd w:id="59"/>
            <w:bookmarkEnd w:id="60"/>
            <w:bookmarkEnd w:id="61"/>
            <w:bookmarkEnd w:id="62"/>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63" w:name="_Toc11319"/>
            <w:bookmarkStart w:id="64" w:name="_Toc155781185"/>
            <w:bookmarkStart w:id="65" w:name="_Toc37255482"/>
            <w:bookmarkStart w:id="66" w:name="_Toc21343150"/>
            <w:bookmarkStart w:id="67" w:name="_Toc29799615"/>
            <w:bookmarkStart w:id="68" w:name="_Toc37254839"/>
            <w:bookmarkStart w:id="69" w:name="_Toc155428167"/>
            <w:bookmarkStart w:id="70" w:name="_Toc29770116"/>
            <w:r>
              <w:rPr>
                <w:rFonts w:hint="eastAsia" w:ascii="Arial" w:hAnsi="Arial" w:cs="v4.2.0"/>
                <w:lang w:val="en-US" w:eastAsia="zh-CN"/>
              </w:rPr>
              <w:t>6</w:t>
            </w:r>
            <w:r>
              <w:rPr>
                <w:rFonts w:ascii="Arial" w:hAnsi="Arial" w:cs="v4.2.0"/>
              </w:rPr>
              <w:t>.</w:t>
            </w:r>
            <w:r>
              <w:rPr>
                <w:rFonts w:hint="eastAsia" w:ascii="Arial" w:hAnsi="Arial" w:cs="v4.2.0"/>
                <w:lang w:val="en-US" w:eastAsia="zh-CN"/>
              </w:rPr>
              <w:t>19</w:t>
            </w:r>
            <w:r>
              <w:rPr>
                <w:rFonts w:ascii="Arial" w:hAnsi="Arial" w:cs="v4.2.0"/>
              </w:rPr>
              <w:tab/>
            </w:r>
            <w:r>
              <w:rPr>
                <w:rFonts w:hint="eastAsia" w:ascii="Arial" w:hAnsi="Arial" w:cs="v4.2.0"/>
                <w:lang w:val="en-US" w:eastAsia="zh-CN"/>
              </w:rPr>
              <w:t>Conducted i</w:t>
            </w:r>
            <w:r>
              <w:rPr>
                <w:rFonts w:ascii="Arial" w:hAnsi="Arial" w:cs="v4.2.0"/>
              </w:rPr>
              <w:t>ntermodulation characteristics</w:t>
            </w:r>
            <w:bookmarkEnd w:id="63"/>
            <w:bookmarkEnd w:id="64"/>
            <w:bookmarkEnd w:id="65"/>
            <w:bookmarkEnd w:id="66"/>
            <w:bookmarkEnd w:id="67"/>
            <w:bookmarkEnd w:id="68"/>
            <w:bookmarkEnd w:id="69"/>
            <w:bookmarkEnd w:id="70"/>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6"/>
              <w:spacing w:line="256" w:lineRule="auto"/>
              <w:rPr>
                <w:rFonts w:ascii="Arial" w:hAnsi="Arial" w:cs="v4.2.0"/>
              </w:rPr>
            </w:pPr>
            <w:bookmarkStart w:id="71" w:name="_Toc155428171"/>
            <w:bookmarkStart w:id="72" w:name="_Toc29770126"/>
            <w:bookmarkStart w:id="73" w:name="_Toc29799625"/>
            <w:bookmarkStart w:id="74" w:name="_Toc37254849"/>
            <w:bookmarkStart w:id="75" w:name="_Toc155781189"/>
            <w:bookmarkStart w:id="76" w:name="_Toc21343160"/>
            <w:bookmarkStart w:id="77" w:name="_Toc649"/>
            <w:bookmarkStart w:id="78" w:name="_Toc37255492"/>
            <w:r>
              <w:rPr>
                <w:rFonts w:hint="eastAsia" w:ascii="Arial" w:hAnsi="Arial" w:cs="v4.2.0"/>
                <w:lang w:val="en-US" w:eastAsia="zh-CN"/>
              </w:rPr>
              <w:t>6</w:t>
            </w:r>
            <w:r>
              <w:rPr>
                <w:rFonts w:ascii="Arial" w:hAnsi="Arial" w:cs="v4.2.0"/>
              </w:rPr>
              <w:t>.</w:t>
            </w:r>
            <w:r>
              <w:rPr>
                <w:rFonts w:hint="eastAsia" w:ascii="Arial" w:hAnsi="Arial" w:cs="v4.2.0"/>
                <w:lang w:val="en-US" w:eastAsia="zh-CN"/>
              </w:rPr>
              <w:t>20</w:t>
            </w:r>
            <w:r>
              <w:rPr>
                <w:rFonts w:ascii="Arial" w:hAnsi="Arial" w:cs="v4.2.0"/>
              </w:rPr>
              <w:tab/>
            </w:r>
            <w:r>
              <w:rPr>
                <w:rFonts w:hint="eastAsia" w:ascii="Arial" w:hAnsi="Arial" w:cs="v4.2.0"/>
                <w:lang w:val="en-US" w:eastAsia="zh-CN"/>
              </w:rPr>
              <w:t>Conducted s</w:t>
            </w:r>
            <w:r>
              <w:rPr>
                <w:rFonts w:ascii="Arial" w:hAnsi="Arial" w:cs="v4.2.0"/>
              </w:rPr>
              <w:t>purious emissions</w:t>
            </w:r>
            <w:bookmarkEnd w:id="71"/>
            <w:bookmarkEnd w:id="72"/>
            <w:bookmarkEnd w:id="73"/>
            <w:bookmarkEnd w:id="74"/>
            <w:bookmarkEnd w:id="75"/>
            <w:bookmarkEnd w:id="76"/>
            <w:bookmarkEnd w:id="77"/>
            <w:bookmarkEnd w:id="78"/>
          </w:p>
          <w:p>
            <w:pPr>
              <w:pStyle w:val="36"/>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6"/>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6"/>
              <w:spacing w:line="256" w:lineRule="auto"/>
            </w:pPr>
          </w:p>
        </w:tc>
      </w:tr>
    </w:tbl>
    <w:p>
      <w:pPr>
        <w:spacing w:line="240" w:lineRule="auto"/>
        <w:rPr>
          <w:rFonts w:hint="eastAsia" w:eastAsiaTheme="minorEastAsia"/>
          <w:sz w:val="20"/>
        </w:rPr>
      </w:pPr>
    </w:p>
    <w:p>
      <w:pPr>
        <w:spacing w:line="240" w:lineRule="auto"/>
        <w:rPr>
          <w:rFonts w:hint="eastAsia" w:eastAsiaTheme="minorEastAsia"/>
          <w:sz w:val="20"/>
        </w:rPr>
      </w:pPr>
    </w:p>
    <w:p>
      <w:pPr>
        <w:pStyle w:val="44"/>
        <w:rPr>
          <w:rFonts w:hint="default" w:eastAsia="宋体"/>
          <w:lang w:val="en-US" w:eastAsia="zh-CN"/>
        </w:rPr>
      </w:pPr>
      <w:r>
        <w:t xml:space="preserve">Table </w:t>
      </w:r>
      <w:r>
        <w:rPr>
          <w:rFonts w:hint="eastAsia"/>
          <w:lang w:val="en-US" w:eastAsia="zh-CN"/>
        </w:rPr>
        <w:t>2</w:t>
      </w:r>
      <w:r>
        <w:t>.2-</w:t>
      </w:r>
      <w:r>
        <w:rPr>
          <w:rFonts w:hint="eastAsia" w:eastAsia="宋体"/>
          <w:lang w:val="en-US" w:eastAsia="zh-CN"/>
        </w:rPr>
        <w:t>2</w:t>
      </w:r>
      <w:r>
        <w:t>: Maximum Test System uncertainty for radiated characteristics tests</w:t>
      </w:r>
      <w:r>
        <w:rPr>
          <w:rFonts w:hint="eastAsia" w:eastAsia="宋体"/>
          <w:lang w:val="en-US" w:eastAsia="zh-CN"/>
        </w:rPr>
        <w:t xml:space="preserve"> for NCR</w:t>
      </w:r>
    </w:p>
    <w:tbl>
      <w:tblPr>
        <w:tblStyle w:val="2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2436" w:type="dxa"/>
          </w:tcPr>
          <w:p>
            <w:pPr>
              <w:pStyle w:val="34"/>
            </w:pPr>
            <w:r>
              <w:t>Clause</w:t>
            </w:r>
          </w:p>
        </w:tc>
        <w:tc>
          <w:tcPr>
            <w:tcW w:w="4536" w:type="dxa"/>
          </w:tcPr>
          <w:p>
            <w:pPr>
              <w:pStyle w:val="34"/>
            </w:pPr>
            <w:r>
              <w:t>Maximum Test System Uncertainty</w:t>
            </w:r>
          </w:p>
        </w:tc>
        <w:tc>
          <w:tcPr>
            <w:tcW w:w="2721" w:type="dxa"/>
          </w:tcPr>
          <w:p>
            <w:pPr>
              <w:pStyle w:val="34"/>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restart"/>
          </w:tcPr>
          <w:p>
            <w:pPr>
              <w:pStyle w:val="36"/>
            </w:pPr>
            <w:r>
              <w:t xml:space="preserve">6.2 </w:t>
            </w:r>
            <w:r>
              <w:rPr>
                <w:lang w:eastAsia="zh-CN"/>
              </w:rPr>
              <w:t>Radiated transmit power (EIRP)</w:t>
            </w:r>
          </w:p>
        </w:tc>
        <w:tc>
          <w:tcPr>
            <w:tcW w:w="4536" w:type="dxa"/>
          </w:tcPr>
          <w:p>
            <w:pPr>
              <w:pStyle w:val="36"/>
              <w:rPr>
                <w:lang w:val="fr-FR"/>
              </w:rPr>
            </w:pPr>
            <w:r>
              <w:rPr>
                <w:lang w:val="fr-FR"/>
              </w:rPr>
              <w:t>Normal condition:</w:t>
            </w:r>
          </w:p>
          <w:p>
            <w:pPr>
              <w:pStyle w:val="36"/>
              <w:rPr>
                <w:lang w:val="fr-FR"/>
              </w:rPr>
            </w:pPr>
            <w:r>
              <w:rPr>
                <w:lang w:val="fr-FR"/>
              </w:rPr>
              <w:t xml:space="preserve">±1.7 dB (24.25 </w:t>
            </w:r>
            <w:r>
              <w:rPr>
                <w:rFonts w:cs="v4.2.0"/>
                <w:lang w:val="fr-FR"/>
              </w:rPr>
              <w:t xml:space="preserve">– </w:t>
            </w:r>
            <w:r>
              <w:rPr>
                <w:lang w:val="fr-FR"/>
              </w:rPr>
              <w:t>29.5 GHz)</w:t>
            </w:r>
          </w:p>
          <w:p>
            <w:pPr>
              <w:pStyle w:val="36"/>
              <w:rPr>
                <w:lang w:val="fr-FR"/>
              </w:rPr>
            </w:pPr>
            <w:r>
              <w:rPr>
                <w:rFonts w:cs="Arial"/>
                <w:lang w:val="fr-FR"/>
              </w:rPr>
              <w:t>±</w:t>
            </w:r>
            <w:r>
              <w:rPr>
                <w:lang w:val="fr-FR"/>
              </w:rPr>
              <w:t>2.0 dB (37 – 43.5 GHz)</w:t>
            </w:r>
          </w:p>
          <w:p>
            <w:pPr>
              <w:pStyle w:val="36"/>
              <w:rPr>
                <w:rFonts w:eastAsia="宋体"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continue"/>
          </w:tcPr>
          <w:p>
            <w:pPr>
              <w:pStyle w:val="36"/>
            </w:pPr>
          </w:p>
        </w:tc>
        <w:tc>
          <w:tcPr>
            <w:tcW w:w="4536" w:type="dxa"/>
          </w:tcPr>
          <w:p>
            <w:pPr>
              <w:pStyle w:val="36"/>
            </w:pPr>
            <w:r>
              <w:t>Extreme condition:</w:t>
            </w:r>
          </w:p>
          <w:p>
            <w:pPr>
              <w:pStyle w:val="36"/>
            </w:pPr>
            <w:r>
              <w:t xml:space="preserve">±3.1 dB (24.25 </w:t>
            </w:r>
            <w:r>
              <w:rPr>
                <w:rFonts w:cs="v4.2.0"/>
              </w:rPr>
              <w:t xml:space="preserve">– </w:t>
            </w:r>
            <w:r>
              <w:t>29.5 GHz)</w:t>
            </w:r>
          </w:p>
          <w:p>
            <w:pPr>
              <w:pStyle w:val="36"/>
            </w:pPr>
            <w:r>
              <w:rPr>
                <w:rFonts w:cs="Arial"/>
              </w:rPr>
              <w:t>±</w:t>
            </w:r>
            <w:r>
              <w:t>3.3 dB (37 – 43.5 GHz)</w:t>
            </w:r>
          </w:p>
          <w:p>
            <w:pPr>
              <w:pStyle w:val="36"/>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val="continue"/>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pPr>
            <w:r>
              <w:t xml:space="preserve">6.3 OTA </w:t>
            </w:r>
            <w:r>
              <w:rPr>
                <w:rFonts w:hint="eastAsia"/>
                <w:lang w:eastAsia="zh-CN"/>
              </w:rPr>
              <w:t>NCR</w:t>
            </w:r>
            <w:r>
              <w:t xml:space="preserve"> output power</w:t>
            </w:r>
            <w:r>
              <w:rPr>
                <w:lang w:eastAsia="zh-CN"/>
              </w:rPr>
              <w:t xml:space="preserve"> (TRP)</w:t>
            </w:r>
          </w:p>
        </w:tc>
        <w:tc>
          <w:tcPr>
            <w:tcW w:w="4536" w:type="dxa"/>
          </w:tcPr>
          <w:p>
            <w:pPr>
              <w:pStyle w:val="36"/>
            </w:pPr>
            <w:r>
              <w:t>±2.1 dB (24.25 – 29.5 GHz)</w:t>
            </w:r>
          </w:p>
          <w:p>
            <w:pPr>
              <w:pStyle w:val="36"/>
            </w:pPr>
            <w:r>
              <w:t xml:space="preserve">±2.4 dB (37 – </w:t>
            </w:r>
            <w:r>
              <w:rPr>
                <w:rFonts w:cs="v4.2.0"/>
              </w:rPr>
              <w:t xml:space="preserve">43.5 </w:t>
            </w:r>
            <w:r>
              <w:t>GHz)</w:t>
            </w:r>
          </w:p>
          <w:p>
            <w:pPr>
              <w:pStyle w:val="36"/>
              <w:rPr>
                <w:highlight w:val="yellow"/>
              </w:rPr>
            </w:pPr>
            <w:r>
              <w:rPr>
                <w:rFonts w:cs="Arial"/>
              </w:rPr>
              <w:t>±</w:t>
            </w:r>
            <w:r>
              <w:t>2.6 dB (43.5 GHz &lt; f ≤ 48.2 GHz)</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pPr>
              <w:pStyle w:val="36"/>
              <w:rPr>
                <w:rFonts w:cs="v4.2.0"/>
                <w:lang w:eastAsia="sv-SE"/>
              </w:rPr>
            </w:pPr>
            <w:r>
              <w:rPr>
                <w:rFonts w:cs="v4.2.0"/>
                <w:lang w:eastAsia="sv-SE"/>
              </w:rPr>
              <w:t>±1] Hz</w:t>
            </w:r>
          </w:p>
          <w:p>
            <w:pPr>
              <w:pStyle w:val="36"/>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lang w:eastAsia="ja-JP"/>
              </w:rPr>
            </w:pPr>
            <w:r>
              <w:rPr>
                <w:lang w:eastAsia="ja-JP"/>
              </w:rPr>
              <w:t>6.5 OTA ou</w:t>
            </w:r>
            <w:r>
              <w:rPr>
                <w:rFonts w:cs="v4.2.0"/>
              </w:rPr>
              <w:t>t of band gain</w:t>
            </w:r>
          </w:p>
        </w:tc>
        <w:tc>
          <w:tcPr>
            <w:tcW w:w="4536" w:type="dxa"/>
          </w:tcPr>
          <w:p>
            <w:pPr>
              <w:pStyle w:val="36"/>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36"/>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36"/>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36"/>
              <w:rPr>
                <w:rFonts w:cs="v4.2.0"/>
                <w:lang w:eastAsia="sv-SE"/>
              </w:rPr>
            </w:pP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lang w:eastAsia="ja-JP"/>
              </w:rPr>
            </w:pPr>
            <w:r>
              <w:rPr>
                <w:lang w:eastAsia="ja-JP"/>
              </w:rPr>
              <w:t xml:space="preserve">6.6.2 OTA </w:t>
            </w:r>
            <w:r>
              <w:t>ACLR</w:t>
            </w:r>
          </w:p>
        </w:tc>
        <w:tc>
          <w:tcPr>
            <w:tcW w:w="4536" w:type="dxa"/>
          </w:tcPr>
          <w:p>
            <w:pPr>
              <w:pStyle w:val="36"/>
            </w:pPr>
            <w:r>
              <w:t>Relative ACLR:</w:t>
            </w:r>
          </w:p>
          <w:p>
            <w:pPr>
              <w:pStyle w:val="36"/>
            </w:pPr>
            <w:r>
              <w:t xml:space="preserve">±2.3 dB (24.25 </w:t>
            </w:r>
            <w:r>
              <w:rPr>
                <w:rFonts w:cs="v4.2.0"/>
              </w:rPr>
              <w:t xml:space="preserve">– </w:t>
            </w:r>
            <w:r>
              <w:t>29.5 GHz)</w:t>
            </w:r>
          </w:p>
          <w:p>
            <w:pPr>
              <w:pStyle w:val="36"/>
            </w:pPr>
            <w:r>
              <w:rPr>
                <w:rFonts w:cs="Arial"/>
              </w:rPr>
              <w:t>±</w:t>
            </w:r>
            <w:r>
              <w:t>2.6 dB (37 – 43.5 GHz)</w:t>
            </w:r>
          </w:p>
          <w:p>
            <w:pPr>
              <w:pStyle w:val="36"/>
            </w:pPr>
            <w:r>
              <w:rPr>
                <w:rFonts w:cs="Arial"/>
              </w:rPr>
              <w:t>±</w:t>
            </w:r>
            <w:r>
              <w:t>2.8 dB (43.5 GHz &lt; f ≤ 48.2 GHz)</w:t>
            </w:r>
          </w:p>
          <w:p>
            <w:pPr>
              <w:pStyle w:val="36"/>
            </w:pPr>
          </w:p>
          <w:p>
            <w:pPr>
              <w:pStyle w:val="36"/>
            </w:pPr>
            <w:r>
              <w:t xml:space="preserve">Absolute ACLR: </w:t>
            </w:r>
          </w:p>
          <w:p>
            <w:pPr>
              <w:pStyle w:val="36"/>
            </w:pPr>
            <w:r>
              <w:t>±2.7 dB (24.25 – 29.5 GHz)</w:t>
            </w:r>
          </w:p>
          <w:p>
            <w:pPr>
              <w:pStyle w:val="36"/>
            </w:pPr>
            <w:r>
              <w:t>±2.7 dB (37 – 43.5 GHz)</w:t>
            </w:r>
          </w:p>
          <w:p>
            <w:pPr>
              <w:pStyle w:val="36"/>
              <w:rPr>
                <w:rFonts w:eastAsia="宋体" w:cs="v4.2.0"/>
              </w:rPr>
            </w:pPr>
            <w:r>
              <w:t>±2.9 dB (43.5 GHz &lt; f ≤ 48.2 GHz)</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lang w:eastAsia="ja-JP"/>
              </w:rPr>
            </w:pPr>
            <w:r>
              <w:rPr>
                <w:rFonts w:cs="v4.2.0"/>
              </w:rPr>
              <w:t>6.6.3 OTA operating band unwanted emission</w:t>
            </w:r>
          </w:p>
        </w:tc>
        <w:tc>
          <w:tcPr>
            <w:tcW w:w="4536" w:type="dxa"/>
          </w:tcPr>
          <w:p>
            <w:pPr>
              <w:pStyle w:val="36"/>
            </w:pPr>
            <w:r>
              <w:t>±2.7 dB (24.25 – 29.5 GHz)</w:t>
            </w:r>
          </w:p>
          <w:p>
            <w:pPr>
              <w:pStyle w:val="36"/>
            </w:pPr>
            <w:r>
              <w:t>±2.7 dB (37 – 43.5 GHz)</w:t>
            </w:r>
          </w:p>
          <w:p>
            <w:pPr>
              <w:pStyle w:val="36"/>
              <w:rPr>
                <w:rFonts w:cs="v4.2.0"/>
                <w:lang w:eastAsia="sv-SE"/>
              </w:rPr>
            </w:pPr>
            <w:r>
              <w:t>±2.9 dB (43.5 GHz &lt; f ≤ 48.2 GHz)</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rFonts w:cs="v4.2.0"/>
              </w:rPr>
            </w:pPr>
            <w:r>
              <w:rPr>
                <w:rFonts w:cs="v4.2.0"/>
              </w:rPr>
              <w:t>6.6.4 OTA s</w:t>
            </w:r>
            <w:r>
              <w:t>purious emissions</w:t>
            </w:r>
          </w:p>
        </w:tc>
        <w:tc>
          <w:tcPr>
            <w:tcW w:w="4536" w:type="dxa"/>
          </w:tcPr>
          <w:p>
            <w:pPr>
              <w:pStyle w:val="36"/>
            </w:pPr>
            <w:r>
              <w:t>±2.3 dB, 30 MHz ≤ f ≤ 6 GHz</w:t>
            </w:r>
          </w:p>
          <w:p>
            <w:pPr>
              <w:pStyle w:val="36"/>
            </w:pPr>
            <w:r>
              <w:t>±2.7 dB, 6 GHz &lt; f ≤ 40 GHz</w:t>
            </w:r>
          </w:p>
          <w:p>
            <w:pPr>
              <w:pStyle w:val="36"/>
              <w:rPr>
                <w:rFonts w:ascii="Symbol" w:hAnsi="Symbol" w:cs="v4.2.0"/>
                <w:lang w:eastAsia="sv-SE"/>
              </w:rPr>
            </w:pPr>
            <w:r>
              <w:t>±5.0 dB, 40 GHz &lt; f ≤ 60 GHz</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rFonts w:cs="v4.2.0"/>
              </w:rPr>
            </w:pPr>
            <w:r>
              <w:rPr>
                <w:rFonts w:cs="v4.2.0"/>
              </w:rPr>
              <w:t>6.7 OTA EVM</w:t>
            </w:r>
          </w:p>
        </w:tc>
        <w:tc>
          <w:tcPr>
            <w:tcW w:w="4536" w:type="dxa"/>
          </w:tcPr>
          <w:p>
            <w:pPr>
              <w:pStyle w:val="36"/>
              <w:rPr>
                <w:rFonts w:cs="v4.2.0"/>
              </w:rPr>
            </w:pPr>
            <w:r>
              <w:rPr>
                <w:rFonts w:cs="v4.2.0"/>
              </w:rPr>
              <w:t>1.25% signal analyser</w:t>
            </w:r>
          </w:p>
          <w:p>
            <w:pPr>
              <w:pStyle w:val="36"/>
              <w:rPr>
                <w:rFonts w:cs="v4.2.0"/>
                <w:lang w:eastAsia="sv-SE"/>
              </w:rPr>
            </w:pPr>
            <w:r>
              <w:rPr>
                <w:rFonts w:cs="v4.2.0"/>
              </w:rPr>
              <w:t>2% stimulus signal</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rFonts w:cs="v4.2.0"/>
              </w:rPr>
            </w:pPr>
            <w:r>
              <w:rPr>
                <w:rFonts w:cs="v4.2.0"/>
              </w:rPr>
              <w:t>6.8 OTA input intermodulation</w:t>
            </w:r>
          </w:p>
        </w:tc>
        <w:tc>
          <w:tcPr>
            <w:tcW w:w="4536" w:type="dxa"/>
          </w:tcPr>
          <w:p>
            <w:pPr>
              <w:pStyle w:val="36"/>
              <w:rPr>
                <w:lang w:val="de-DE" w:eastAsia="ja-JP"/>
              </w:rPr>
            </w:pPr>
            <w:r>
              <w:rPr>
                <w:lang w:val="de-DE" w:eastAsia="ja-JP"/>
              </w:rPr>
              <w:t>±2.0 dB, f ≤ 3.0 GHz</w:t>
            </w:r>
          </w:p>
          <w:p>
            <w:pPr>
              <w:pStyle w:val="36"/>
              <w:rPr>
                <w:lang w:val="de-DE" w:eastAsia="ja-JP"/>
              </w:rPr>
            </w:pPr>
            <w:r>
              <w:rPr>
                <w:lang w:val="de-DE" w:eastAsia="ja-JP"/>
              </w:rPr>
              <w:t>±2.6 dB, 3.0 GHz &lt; f ≤ 4.2 GHz</w:t>
            </w:r>
          </w:p>
          <w:p>
            <w:pPr>
              <w:pStyle w:val="36"/>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pPr>
              <w:pStyle w:val="36"/>
              <w:rPr>
                <w:rFonts w:cs="v4.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pPr>
            <w:r>
              <w:t>6.9 OTA ACRR</w:t>
            </w:r>
          </w:p>
        </w:tc>
        <w:tc>
          <w:tcPr>
            <w:tcW w:w="4536" w:type="dxa"/>
          </w:tcPr>
          <w:p>
            <w:pPr>
              <w:pStyle w:val="36"/>
              <w:rPr>
                <w:lang w:val="en-US"/>
              </w:rPr>
            </w:pPr>
            <w:r>
              <w:rPr>
                <w:lang w:val="en-US"/>
              </w:rPr>
              <w:t>±2.7 dB (24.25 – 29.5 GHz)</w:t>
            </w:r>
          </w:p>
          <w:p>
            <w:pPr>
              <w:pStyle w:val="36"/>
              <w:rPr>
                <w:lang w:val="en-US"/>
              </w:rPr>
            </w:pPr>
            <w:r>
              <w:rPr>
                <w:lang w:val="en-US"/>
              </w:rPr>
              <w:t>±2.7 dB (37 – 43.5 GHz)</w:t>
            </w:r>
          </w:p>
          <w:p>
            <w:pPr>
              <w:pStyle w:val="36"/>
              <w:rPr>
                <w:rFonts w:ascii="Symbol" w:hAnsi="Symbol"/>
                <w:lang w:eastAsia="sv-SE"/>
              </w:rPr>
            </w:pPr>
            <w:r>
              <w:rPr>
                <w:lang w:val="en-US"/>
              </w:rPr>
              <w:t xml:space="preserve">±2.9 dB (43.5 </w:t>
            </w:r>
            <w:r>
              <w:rPr>
                <w:lang w:val="fr-FR"/>
              </w:rPr>
              <w:t xml:space="preserve">GHz &lt; </w:t>
            </w:r>
            <w:r>
              <w:rPr>
                <w:lang w:val="en-US"/>
              </w:rPr>
              <w:t xml:space="preserve">f </w:t>
            </w:r>
            <w:r>
              <w:rPr>
                <w:rFonts w:hint="eastAsia"/>
                <w:lang w:val="en-US"/>
              </w:rPr>
              <w:t>≤</w:t>
            </w:r>
            <w:r>
              <w:rPr>
                <w:lang w:val="en-US"/>
              </w:rPr>
              <w:t xml:space="preserve"> 48.2 GHz)</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pPr>
            <w:r>
              <w:t xml:space="preserve">6.10.1 </w:t>
            </w:r>
            <w:r>
              <w:rPr>
                <w:lang w:eastAsia="zh-CN"/>
              </w:rPr>
              <w:t>OTA transmitter OFF power</w:t>
            </w:r>
          </w:p>
        </w:tc>
        <w:tc>
          <w:tcPr>
            <w:tcW w:w="4536" w:type="dxa"/>
          </w:tcPr>
          <w:p>
            <w:pPr>
              <w:pStyle w:val="36"/>
            </w:pPr>
            <w:r>
              <w:t>±2.9 dB (24.25 – 29.5 GHz)</w:t>
            </w:r>
          </w:p>
          <w:p>
            <w:pPr>
              <w:pStyle w:val="36"/>
            </w:pPr>
            <w:r>
              <w:t xml:space="preserve">±3.3 dB (37 – </w:t>
            </w:r>
            <w:r>
              <w:rPr>
                <w:rFonts w:cs="v4.2.0"/>
              </w:rPr>
              <w:t xml:space="preserve">43.5 </w:t>
            </w:r>
            <w:r>
              <w:t>GHz)</w:t>
            </w:r>
          </w:p>
          <w:p>
            <w:pPr>
              <w:pStyle w:val="36"/>
              <w:rPr>
                <w:highlight w:val="yellow"/>
                <w:lang w:eastAsia="sv-SE"/>
              </w:rPr>
            </w:pPr>
            <w:r>
              <w:rPr>
                <w:rFonts w:cs="Arial"/>
              </w:rPr>
              <w:t>±3</w:t>
            </w:r>
            <w:r>
              <w:t>.6 dB (43.5 GHz &lt; f ≤ 48.2 GHz)</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pPr>
            <w:r>
              <w:rPr>
                <w:lang w:eastAsia="ja-JP"/>
              </w:rPr>
              <w:t xml:space="preserve">6.10.2 </w:t>
            </w:r>
            <w:r>
              <w:t>OTA transient period</w:t>
            </w:r>
          </w:p>
        </w:tc>
        <w:tc>
          <w:tcPr>
            <w:tcW w:w="4536" w:type="dxa"/>
          </w:tcPr>
          <w:p>
            <w:pPr>
              <w:pStyle w:val="36"/>
              <w:rPr>
                <w:lang w:eastAsia="sv-SE"/>
              </w:rPr>
            </w:pPr>
            <w:r>
              <w:rPr>
                <w:rFonts w:cs="v4.2.0"/>
                <w:kern w:val="2"/>
                <w:lang w:eastAsia="ja-JP"/>
              </w:rPr>
              <w:t>N/A</w:t>
            </w:r>
          </w:p>
        </w:tc>
        <w:tc>
          <w:tcPr>
            <w:tcW w:w="2721" w:type="dxa"/>
          </w:tcPr>
          <w:p>
            <w:pPr>
              <w:pStyle w:val="36"/>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rFonts w:hint="eastAsia" w:ascii="Arial" w:hAnsi="Arial" w:cs="Times New Roman"/>
                <w:lang w:val="en-US" w:eastAsia="zh-CN"/>
              </w:rPr>
            </w:pPr>
            <w:bookmarkStart w:id="79" w:name="_Toc12005"/>
            <w:bookmarkStart w:id="80" w:name="_Toc155781285"/>
            <w:bookmarkStart w:id="81" w:name="_Toc155428267"/>
            <w:r>
              <w:rPr>
                <w:rFonts w:hint="eastAsia" w:ascii="Arial" w:hAnsi="Arial" w:cs="Times New Roman"/>
                <w:lang w:val="en-US" w:eastAsia="zh-CN"/>
              </w:rPr>
              <w:t>6.10</w:t>
            </w:r>
            <w:r>
              <w:rPr>
                <w:rFonts w:hint="eastAsia" w:ascii="Arial" w:hAnsi="Arial" w:cs="Times New Roman"/>
                <w:lang w:val="en-US" w:eastAsia="zh-CN"/>
              </w:rPr>
              <w:tab/>
            </w:r>
            <w:r>
              <w:rPr>
                <w:rFonts w:hint="eastAsia" w:ascii="Arial" w:hAnsi="Arial" w:cs="Times New Roman"/>
                <w:lang w:val="en-US" w:eastAsia="zh-CN"/>
              </w:rPr>
              <w:t>OTA output power dynamics</w:t>
            </w:r>
            <w:bookmarkEnd w:id="79"/>
            <w:bookmarkEnd w:id="80"/>
            <w:bookmarkEnd w:id="81"/>
          </w:p>
          <w:p>
            <w:pPr>
              <w:pStyle w:val="36"/>
              <w:rPr>
                <w:rFonts w:hint="eastAsia" w:ascii="Arial" w:hAnsi="Arial" w:cs="Times New Roman"/>
                <w:lang w:val="en-US" w:eastAsia="ja-JP"/>
              </w:rPr>
            </w:pPr>
          </w:p>
        </w:tc>
        <w:tc>
          <w:tcPr>
            <w:tcW w:w="4536" w:type="dxa"/>
          </w:tcPr>
          <w:p>
            <w:pPr>
              <w:pStyle w:val="36"/>
              <w:rPr>
                <w:rFonts w:hint="eastAsia" w:ascii="Arial" w:hAnsi="Arial" w:cs="Times New Roman"/>
                <w:lang w:val="en-US" w:eastAsia="ja-JP"/>
              </w:rPr>
            </w:pPr>
          </w:p>
        </w:tc>
        <w:tc>
          <w:tcPr>
            <w:tcW w:w="2721" w:type="dxa"/>
          </w:tcPr>
          <w:p>
            <w:pPr>
              <w:pStyle w:val="36"/>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rFonts w:hint="eastAsia" w:ascii="Arial" w:hAnsi="Arial" w:cs="Times New Roman"/>
                <w:lang w:val="en-US" w:eastAsia="zh-CN"/>
              </w:rPr>
            </w:pPr>
            <w:bookmarkStart w:id="82" w:name="_Toc155781288"/>
            <w:bookmarkStart w:id="83" w:name="_Toc18287"/>
            <w:bookmarkStart w:id="84" w:name="_Toc155428270"/>
            <w:r>
              <w:rPr>
                <w:rFonts w:hint="eastAsia" w:ascii="Arial" w:hAnsi="Arial" w:cs="Times New Roman"/>
                <w:lang w:val="en-US" w:eastAsia="zh-CN"/>
              </w:rPr>
              <w:t>6.11</w:t>
            </w:r>
            <w:r>
              <w:rPr>
                <w:rFonts w:hint="eastAsia" w:ascii="Arial" w:hAnsi="Arial" w:cs="Times New Roman"/>
                <w:lang w:val="en-US" w:eastAsia="zh-CN"/>
              </w:rPr>
              <w:tab/>
            </w:r>
            <w:r>
              <w:rPr>
                <w:rFonts w:hint="eastAsia" w:ascii="Arial" w:hAnsi="Arial" w:cs="Times New Roman"/>
                <w:lang w:val="en-US" w:eastAsia="zh-CN"/>
              </w:rPr>
              <w:t>OTA transmit signal quality</w:t>
            </w:r>
            <w:bookmarkEnd w:id="82"/>
            <w:bookmarkEnd w:id="83"/>
            <w:bookmarkEnd w:id="84"/>
          </w:p>
          <w:p>
            <w:pPr>
              <w:pStyle w:val="36"/>
              <w:rPr>
                <w:rFonts w:hint="eastAsia" w:ascii="Arial" w:hAnsi="Arial" w:cs="Times New Roman"/>
                <w:lang w:val="en-US" w:eastAsia="ja-JP"/>
              </w:rPr>
            </w:pPr>
          </w:p>
        </w:tc>
        <w:tc>
          <w:tcPr>
            <w:tcW w:w="4536" w:type="dxa"/>
          </w:tcPr>
          <w:p>
            <w:pPr>
              <w:pStyle w:val="36"/>
              <w:rPr>
                <w:rFonts w:hint="eastAsia" w:ascii="Arial" w:hAnsi="Arial" w:cs="Times New Roman"/>
                <w:lang w:val="en-US" w:eastAsia="ja-JP"/>
              </w:rPr>
            </w:pPr>
          </w:p>
        </w:tc>
        <w:tc>
          <w:tcPr>
            <w:tcW w:w="2721" w:type="dxa"/>
          </w:tcPr>
          <w:p>
            <w:pPr>
              <w:pStyle w:val="36"/>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Pr>
          <w:p>
            <w:pPr>
              <w:pStyle w:val="36"/>
              <w:rPr>
                <w:rFonts w:hint="eastAsia" w:ascii="Arial" w:hAnsi="Arial" w:cs="Times New Roman"/>
                <w:lang w:val="en-US" w:eastAsia="zh-CN"/>
              </w:rPr>
            </w:pPr>
            <w:bookmarkStart w:id="85" w:name="_Toc155428279"/>
            <w:bookmarkStart w:id="86" w:name="_Toc5753"/>
            <w:bookmarkStart w:id="87" w:name="_Toc155781297"/>
            <w:r>
              <w:rPr>
                <w:rFonts w:hint="eastAsia" w:ascii="Arial" w:hAnsi="Arial" w:cs="Times New Roman"/>
                <w:lang w:val="en-US" w:eastAsia="zh-CN"/>
              </w:rPr>
              <w:t>6.12</w:t>
            </w:r>
            <w:r>
              <w:rPr>
                <w:rFonts w:hint="eastAsia" w:ascii="Arial" w:hAnsi="Arial" w:cs="Times New Roman"/>
                <w:lang w:val="en-US" w:eastAsia="zh-CN"/>
              </w:rPr>
              <w:tab/>
            </w:r>
            <w:r>
              <w:rPr>
                <w:rFonts w:hint="eastAsia" w:ascii="Arial" w:hAnsi="Arial" w:cs="Times New Roman"/>
                <w:lang w:val="en-US" w:eastAsia="zh-CN"/>
              </w:rPr>
              <w:t>OTA reference sensitivity</w:t>
            </w:r>
            <w:bookmarkEnd w:id="85"/>
            <w:bookmarkEnd w:id="86"/>
            <w:bookmarkEnd w:id="87"/>
          </w:p>
          <w:p>
            <w:pPr>
              <w:pStyle w:val="36"/>
              <w:rPr>
                <w:rFonts w:hint="eastAsia" w:ascii="Arial" w:hAnsi="Arial" w:cs="Times New Roman"/>
                <w:lang w:val="en-US" w:eastAsia="ja-JP"/>
              </w:rPr>
            </w:pPr>
          </w:p>
        </w:tc>
        <w:tc>
          <w:tcPr>
            <w:tcW w:w="4536" w:type="dxa"/>
          </w:tcPr>
          <w:p>
            <w:pPr>
              <w:pStyle w:val="36"/>
              <w:rPr>
                <w:rFonts w:hint="eastAsia" w:ascii="Arial" w:hAnsi="Arial" w:cs="Times New Roman"/>
                <w:lang w:val="en-US" w:eastAsia="ja-JP"/>
              </w:rPr>
            </w:pPr>
          </w:p>
        </w:tc>
        <w:tc>
          <w:tcPr>
            <w:tcW w:w="2721" w:type="dxa"/>
          </w:tcPr>
          <w:p>
            <w:pPr>
              <w:pStyle w:val="36"/>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rFonts w:hint="eastAsia" w:ascii="Arial" w:hAnsi="Arial" w:cs="Times New Roman"/>
                <w:lang w:val="en-US" w:eastAsia="zh-CN"/>
              </w:rPr>
            </w:pPr>
            <w:bookmarkStart w:id="88" w:name="_Toc155428282"/>
            <w:bookmarkStart w:id="89" w:name="_Toc2083"/>
            <w:bookmarkStart w:id="90" w:name="_Toc155781300"/>
            <w:r>
              <w:rPr>
                <w:rFonts w:hint="eastAsia" w:ascii="Arial" w:hAnsi="Arial" w:cs="Times New Roman"/>
                <w:lang w:val="en-US" w:eastAsia="zh-CN"/>
              </w:rPr>
              <w:t>6.13</w:t>
            </w:r>
            <w:r>
              <w:rPr>
                <w:rFonts w:hint="eastAsia" w:ascii="Arial" w:hAnsi="Arial" w:cs="Times New Roman"/>
                <w:lang w:val="en-US" w:eastAsia="zh-CN"/>
              </w:rPr>
              <w:tab/>
            </w:r>
            <w:r>
              <w:rPr>
                <w:rFonts w:hint="eastAsia" w:ascii="Arial" w:hAnsi="Arial" w:cs="Times New Roman"/>
                <w:lang w:val="en-US" w:eastAsia="zh-CN"/>
              </w:rPr>
              <w:t>OTA maximum input level</w:t>
            </w:r>
            <w:bookmarkEnd w:id="88"/>
            <w:bookmarkEnd w:id="89"/>
            <w:bookmarkEnd w:id="90"/>
          </w:p>
          <w:p>
            <w:pPr>
              <w:pStyle w:val="36"/>
              <w:rPr>
                <w:rFonts w:hint="eastAsia" w:ascii="Arial" w:hAnsi="Arial" w:cs="Times New Roman"/>
                <w:lang w:val="en-US" w:eastAsia="ja-JP"/>
              </w:rPr>
            </w:pPr>
          </w:p>
        </w:tc>
        <w:tc>
          <w:tcPr>
            <w:tcW w:w="4536" w:type="dxa"/>
          </w:tcPr>
          <w:p>
            <w:pPr>
              <w:pStyle w:val="36"/>
              <w:rPr>
                <w:rFonts w:hint="eastAsia" w:ascii="Arial" w:hAnsi="Arial" w:cs="Times New Roman"/>
                <w:lang w:val="en-US" w:eastAsia="ja-JP"/>
              </w:rPr>
            </w:pPr>
          </w:p>
        </w:tc>
        <w:tc>
          <w:tcPr>
            <w:tcW w:w="2721" w:type="dxa"/>
          </w:tcPr>
          <w:p>
            <w:pPr>
              <w:pStyle w:val="36"/>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rFonts w:hint="eastAsia" w:ascii="Arial" w:hAnsi="Arial" w:cs="Times New Roman"/>
                <w:lang w:val="en-US" w:eastAsia="zh-CN"/>
              </w:rPr>
            </w:pPr>
            <w:bookmarkStart w:id="91" w:name="_Toc18113"/>
            <w:bookmarkStart w:id="92" w:name="_Toc155428285"/>
            <w:bookmarkStart w:id="93" w:name="_Toc155781303"/>
            <w:r>
              <w:rPr>
                <w:rFonts w:hint="eastAsia" w:ascii="Arial" w:hAnsi="Arial" w:cs="Times New Roman"/>
                <w:lang w:val="en-US" w:eastAsia="zh-CN"/>
              </w:rPr>
              <w:t>6.14</w:t>
            </w:r>
            <w:r>
              <w:rPr>
                <w:rFonts w:hint="eastAsia" w:ascii="Arial" w:hAnsi="Arial" w:cs="Times New Roman"/>
                <w:lang w:val="en-US" w:eastAsia="zh-CN"/>
              </w:rPr>
              <w:tab/>
            </w:r>
            <w:r>
              <w:rPr>
                <w:rFonts w:hint="eastAsia" w:ascii="Arial" w:hAnsi="Arial" w:cs="Times New Roman"/>
                <w:lang w:val="en-US" w:eastAsia="zh-CN"/>
              </w:rPr>
              <w:t>OTA adjacent channel selectivity</w:t>
            </w:r>
            <w:bookmarkEnd w:id="91"/>
            <w:bookmarkEnd w:id="92"/>
            <w:bookmarkEnd w:id="93"/>
          </w:p>
          <w:p>
            <w:pPr>
              <w:pStyle w:val="36"/>
              <w:rPr>
                <w:rFonts w:hint="eastAsia" w:ascii="Arial" w:hAnsi="Arial" w:cs="Times New Roman"/>
                <w:lang w:val="en-US" w:eastAsia="ja-JP"/>
              </w:rPr>
            </w:pPr>
          </w:p>
        </w:tc>
        <w:tc>
          <w:tcPr>
            <w:tcW w:w="4536" w:type="dxa"/>
          </w:tcPr>
          <w:p>
            <w:pPr>
              <w:pStyle w:val="36"/>
              <w:rPr>
                <w:rFonts w:hint="eastAsia" w:ascii="Arial" w:hAnsi="Arial" w:cs="Times New Roman"/>
                <w:lang w:val="en-US" w:eastAsia="ja-JP"/>
              </w:rPr>
            </w:pPr>
          </w:p>
        </w:tc>
        <w:tc>
          <w:tcPr>
            <w:tcW w:w="2721" w:type="dxa"/>
          </w:tcPr>
          <w:p>
            <w:pPr>
              <w:pStyle w:val="36"/>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6" w:type="dxa"/>
          </w:tcPr>
          <w:p>
            <w:pPr>
              <w:pStyle w:val="36"/>
              <w:rPr>
                <w:rFonts w:ascii="Arial" w:hAnsi="Arial" w:cs="Times New Roman"/>
              </w:rPr>
            </w:pPr>
            <w:bookmarkStart w:id="94" w:name="_Toc155428288"/>
            <w:bookmarkStart w:id="95" w:name="_Toc28423"/>
            <w:bookmarkStart w:id="96" w:name="_Toc155781306"/>
            <w:r>
              <w:rPr>
                <w:rFonts w:hint="eastAsia" w:ascii="Arial" w:hAnsi="Arial" w:cs="Times New Roman"/>
                <w:lang w:val="en-US" w:eastAsia="zh-CN"/>
              </w:rPr>
              <w:t>6</w:t>
            </w:r>
            <w:r>
              <w:rPr>
                <w:rFonts w:ascii="Arial" w:hAnsi="Arial" w:cs="Times New Roman"/>
              </w:rPr>
              <w:t>.</w:t>
            </w:r>
            <w:r>
              <w:rPr>
                <w:rFonts w:hint="eastAsia" w:ascii="Arial" w:hAnsi="Arial" w:cs="Times New Roman"/>
                <w:lang w:val="en-US" w:eastAsia="zh-CN"/>
              </w:rPr>
              <w:t>15</w:t>
            </w:r>
            <w:r>
              <w:rPr>
                <w:rFonts w:ascii="Arial" w:hAnsi="Arial" w:cs="Times New Roman"/>
              </w:rPr>
              <w:tab/>
            </w:r>
            <w:r>
              <w:rPr>
                <w:rFonts w:hint="eastAsia" w:ascii="Arial" w:hAnsi="Arial" w:cs="Times New Roman"/>
                <w:lang w:val="en-US" w:eastAsia="zh-CN"/>
              </w:rPr>
              <w:t>OTA b</w:t>
            </w:r>
            <w:r>
              <w:rPr>
                <w:rFonts w:ascii="Arial" w:hAnsi="Arial" w:cs="Times New Roman"/>
              </w:rPr>
              <w:t>locking characteristics</w:t>
            </w:r>
            <w:bookmarkEnd w:id="94"/>
            <w:bookmarkEnd w:id="95"/>
            <w:bookmarkEnd w:id="96"/>
          </w:p>
          <w:p>
            <w:pPr>
              <w:pStyle w:val="36"/>
              <w:rPr>
                <w:rFonts w:ascii="Arial" w:hAnsi="Arial" w:cs="Times New Roman"/>
                <w:lang w:eastAsia="ja-JP"/>
              </w:rPr>
            </w:pPr>
          </w:p>
        </w:tc>
        <w:tc>
          <w:tcPr>
            <w:tcW w:w="4536" w:type="dxa"/>
          </w:tcPr>
          <w:p>
            <w:pPr>
              <w:pStyle w:val="36"/>
              <w:rPr>
                <w:rFonts w:ascii="Arial" w:hAnsi="Arial" w:cs="Times New Roman"/>
                <w:lang w:eastAsia="ja-JP"/>
              </w:rPr>
            </w:pPr>
          </w:p>
        </w:tc>
        <w:tc>
          <w:tcPr>
            <w:tcW w:w="2721" w:type="dxa"/>
          </w:tcPr>
          <w:p>
            <w:pPr>
              <w:pStyle w:val="36"/>
              <w:rPr>
                <w:rFonts w:ascii="Arial" w:hAnsi="Arial"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6"/>
              <w:rPr>
                <w:rFonts w:ascii="Arial" w:hAnsi="Arial" w:cs="Times New Roman"/>
              </w:rPr>
            </w:pPr>
            <w:bookmarkStart w:id="97" w:name="_Toc155781309"/>
            <w:bookmarkStart w:id="98" w:name="_Toc25566"/>
            <w:bookmarkStart w:id="99" w:name="_Toc155428291"/>
            <w:r>
              <w:rPr>
                <w:rFonts w:hint="eastAsia" w:ascii="Arial" w:hAnsi="Arial" w:cs="Times New Roman"/>
                <w:lang w:val="en-US" w:eastAsia="zh-CN"/>
              </w:rPr>
              <w:t>6.16</w:t>
            </w:r>
            <w:r>
              <w:rPr>
                <w:rFonts w:ascii="Arial" w:hAnsi="Arial" w:cs="Times New Roman"/>
              </w:rPr>
              <w:tab/>
            </w:r>
            <w:r>
              <w:rPr>
                <w:rFonts w:hint="eastAsia" w:ascii="Arial" w:hAnsi="Arial" w:cs="Times New Roman"/>
                <w:lang w:val="en-US" w:eastAsia="zh-CN"/>
              </w:rPr>
              <w:t>OTA s</w:t>
            </w:r>
            <w:r>
              <w:rPr>
                <w:rFonts w:ascii="Arial" w:hAnsi="Arial" w:cs="Times New Roman"/>
              </w:rPr>
              <w:t>purious emissions</w:t>
            </w:r>
            <w:bookmarkEnd w:id="97"/>
            <w:bookmarkEnd w:id="98"/>
            <w:bookmarkEnd w:id="99"/>
          </w:p>
          <w:p>
            <w:pPr>
              <w:pStyle w:val="36"/>
              <w:rPr>
                <w:rFonts w:ascii="Arial" w:hAnsi="Arial" w:cs="Times New Roman"/>
                <w:lang w:eastAsia="ja-JP"/>
              </w:rPr>
            </w:pPr>
          </w:p>
        </w:tc>
        <w:tc>
          <w:tcPr>
            <w:tcW w:w="4536" w:type="dxa"/>
          </w:tcPr>
          <w:p>
            <w:pPr>
              <w:pStyle w:val="36"/>
              <w:rPr>
                <w:rFonts w:ascii="Arial" w:hAnsi="Arial" w:cs="Times New Roman"/>
                <w:lang w:eastAsia="ja-JP"/>
              </w:rPr>
            </w:pPr>
          </w:p>
        </w:tc>
        <w:tc>
          <w:tcPr>
            <w:tcW w:w="2721" w:type="dxa"/>
          </w:tcPr>
          <w:p>
            <w:pPr>
              <w:pStyle w:val="36"/>
              <w:rPr>
                <w:rFonts w:ascii="Arial" w:hAnsi="Arial" w:cs="Times New Roman"/>
              </w:rPr>
            </w:pPr>
          </w:p>
        </w:tc>
      </w:tr>
    </w:tbl>
    <w:p>
      <w:pPr>
        <w:spacing w:line="240" w:lineRule="auto"/>
        <w:rPr>
          <w:rFonts w:hint="eastAsia" w:eastAsiaTheme="minorEastAsia"/>
          <w:sz w:val="20"/>
        </w:rPr>
      </w:pPr>
    </w:p>
    <w:p>
      <w:pPr>
        <w:spacing w:line="240" w:lineRule="auto"/>
        <w:outlineLvl w:val="1"/>
        <w:rPr>
          <w:sz w:val="20"/>
        </w:rPr>
      </w:pPr>
      <w:r>
        <w:rPr>
          <w:rFonts w:hint="eastAsia" w:ascii="Arial" w:hAnsi="Arial" w:cs="Arial"/>
          <w:sz w:val="28"/>
          <w:szCs w:val="28"/>
        </w:rPr>
        <w:t>2.</w:t>
      </w:r>
      <w:r>
        <w:rPr>
          <w:rFonts w:hint="eastAsia" w:ascii="Arial" w:hAnsi="Arial" w:cs="Arial"/>
          <w:sz w:val="28"/>
          <w:szCs w:val="28"/>
          <w:lang w:val="en-US" w:eastAsia="zh-CN"/>
        </w:rPr>
        <w:t>3</w:t>
      </w:r>
      <w:r>
        <w:rPr>
          <w:rFonts w:hint="eastAsia" w:ascii="Arial" w:hAnsi="Arial" w:cs="Arial"/>
          <w:sz w:val="28"/>
          <w:szCs w:val="28"/>
        </w:rPr>
        <w:t xml:space="preserve">. </w:t>
      </w:r>
      <w:r>
        <w:rPr>
          <w:rFonts w:ascii="Arial" w:hAnsi="Arial" w:cs="Arial"/>
          <w:sz w:val="28"/>
          <w:szCs w:val="28"/>
        </w:rPr>
        <w:t>Manufacturing declaration</w:t>
      </w:r>
    </w:p>
    <w:p>
      <w:pPr>
        <w:spacing w:line="240" w:lineRule="auto"/>
        <w:rPr>
          <w:rFonts w:hint="eastAsia" w:eastAsiaTheme="minorEastAsia"/>
          <w:sz w:val="20"/>
          <w:lang w:val="en-US" w:eastAsia="zh-CN"/>
        </w:rPr>
      </w:pPr>
      <w:r>
        <w:rPr>
          <w:rFonts w:hint="eastAsia" w:eastAsiaTheme="minorEastAsia"/>
          <w:sz w:val="20"/>
          <w:lang w:val="en-US" w:eastAsia="zh-CN"/>
        </w:rPr>
        <w:t>During the previous RAN4 meetings, there were some discussions on the declaration for NCR-Fwd and NCR-MT, however it was agreed to postpone the discussion due to the uncertainty of some core requirement of NCR RF requirement. Until th</w:t>
      </w:r>
      <w:r>
        <w:rPr>
          <w:rFonts w:hint="eastAsia" w:ascii="Times New Roman" w:hAnsi="Times New Roman" w:cs="Times New Roman" w:eastAsiaTheme="minorEastAsia"/>
          <w:sz w:val="20"/>
          <w:lang w:val="en-US" w:eastAsia="zh-CN"/>
        </w:rPr>
        <w:t xml:space="preserve">e last RAN4 meeting, the core requirement for NCR has been completed, therefore we would like to share some initial views on the manufacture declarations for NCR. As shown in the following table, the manufacture declaration for NCR is supposed to be similar as RF repeater defined in Rel-17. One additional column is added for NCR-MT since some declaration are also needed for NCR-MT. In addition, as we agreed in the last RAN4 meeting, the simultaneous Tx between NCR-MT and NCR-FWD is also up to the manufacture declarations.  </w:t>
      </w:r>
    </w:p>
    <w:p>
      <w:pPr>
        <w:pStyle w:val="44"/>
      </w:pPr>
      <w:r>
        <w:t xml:space="preserve">Table </w:t>
      </w:r>
      <w:r>
        <w:rPr>
          <w:rFonts w:hint="eastAsia"/>
          <w:lang w:val="en-US" w:eastAsia="zh-CN"/>
        </w:rPr>
        <w:t>2</w:t>
      </w:r>
      <w:r>
        <w:t>.</w:t>
      </w:r>
      <w:r>
        <w:rPr>
          <w:rFonts w:hint="eastAsia"/>
          <w:lang w:val="en-US" w:eastAsia="zh-CN"/>
        </w:rPr>
        <w:t>3</w:t>
      </w:r>
      <w:r>
        <w:t>-</w:t>
      </w:r>
      <w:r>
        <w:rPr>
          <w:rFonts w:hint="eastAsia"/>
          <w:lang w:val="en-US" w:eastAsia="zh-CN"/>
        </w:rPr>
        <w:t>1</w:t>
      </w:r>
      <w:r>
        <w:t>: Manufacturer declarations for</w:t>
      </w:r>
      <w:r>
        <w:rPr>
          <w:rFonts w:hint="eastAsia" w:eastAsia="宋体"/>
          <w:lang w:val="en-US" w:eastAsia="zh-CN"/>
        </w:rPr>
        <w:t xml:space="preserve"> NCR type 1-C and type 1-H</w:t>
      </w:r>
      <w:r>
        <w:t xml:space="preserve"> conducted test requirements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819"/>
        <w:gridCol w:w="4904"/>
        <w:gridCol w:w="1026"/>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right w:val="single" w:color="auto" w:sz="4" w:space="0"/>
            </w:tcBorders>
          </w:tcPr>
          <w:p>
            <w:pPr>
              <w:pStyle w:val="34"/>
            </w:pPr>
            <w:r>
              <w:t>Declaration identifier</w:t>
            </w:r>
          </w:p>
        </w:tc>
        <w:tc>
          <w:tcPr>
            <w:tcW w:w="0" w:type="auto"/>
            <w:vMerge w:val="restart"/>
            <w:tcBorders>
              <w:top w:val="single" w:color="auto" w:sz="4" w:space="0"/>
              <w:left w:val="single" w:color="auto" w:sz="4" w:space="0"/>
              <w:right w:val="single" w:color="auto" w:sz="4" w:space="0"/>
            </w:tcBorders>
          </w:tcPr>
          <w:p>
            <w:pPr>
              <w:pStyle w:val="34"/>
            </w:pPr>
            <w:r>
              <w:t>Declaration</w:t>
            </w:r>
          </w:p>
        </w:tc>
        <w:tc>
          <w:tcPr>
            <w:tcW w:w="0" w:type="auto"/>
            <w:vMerge w:val="restart"/>
            <w:tcBorders>
              <w:top w:val="single" w:color="auto" w:sz="4" w:space="0"/>
              <w:left w:val="single" w:color="auto" w:sz="4" w:space="0"/>
              <w:right w:val="single" w:color="auto" w:sz="4" w:space="0"/>
            </w:tcBorders>
          </w:tcPr>
          <w:p>
            <w:pPr>
              <w:pStyle w:val="34"/>
            </w:pPr>
            <w:r>
              <w:t>Description</w:t>
            </w:r>
          </w:p>
        </w:tc>
        <w:tc>
          <w:tcPr>
            <w:tcW w:w="0" w:type="auto"/>
            <w:gridSpan w:val="2"/>
            <w:tcBorders>
              <w:top w:val="single" w:color="auto" w:sz="4" w:space="0"/>
              <w:left w:val="single" w:color="auto" w:sz="4" w:space="0"/>
              <w:bottom w:val="single" w:color="auto" w:sz="4" w:space="0"/>
              <w:right w:val="single" w:color="auto" w:sz="4" w:space="0"/>
            </w:tcBorders>
          </w:tcPr>
          <w:p>
            <w:pPr>
              <w:pStyle w:val="34"/>
              <w:rPr>
                <w:rFonts w:eastAsiaTheme="minorEastAsia"/>
              </w:rPr>
            </w:pPr>
            <w:r>
              <w:rPr>
                <w:rFonts w:eastAsiaTheme="minorEastAsia"/>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left w:val="single" w:color="auto" w:sz="4" w:space="0"/>
              <w:bottom w:val="single" w:color="auto" w:sz="4" w:space="0"/>
              <w:right w:val="single" w:color="auto" w:sz="4" w:space="0"/>
            </w:tcBorders>
          </w:tcPr>
          <w:p>
            <w:pPr>
              <w:pStyle w:val="34"/>
            </w:pPr>
          </w:p>
        </w:tc>
        <w:tc>
          <w:tcPr>
            <w:tcW w:w="0" w:type="auto"/>
            <w:vMerge w:val="continue"/>
            <w:tcBorders>
              <w:left w:val="single" w:color="auto" w:sz="4" w:space="0"/>
              <w:bottom w:val="single" w:color="auto" w:sz="4" w:space="0"/>
              <w:right w:val="single" w:color="auto" w:sz="4" w:space="0"/>
            </w:tcBorders>
          </w:tcPr>
          <w:p>
            <w:pPr>
              <w:pStyle w:val="34"/>
            </w:pPr>
          </w:p>
        </w:tc>
        <w:tc>
          <w:tcPr>
            <w:tcW w:w="0" w:type="auto"/>
            <w:vMerge w:val="continue"/>
            <w:tcBorders>
              <w:left w:val="single" w:color="auto" w:sz="4" w:space="0"/>
              <w:bottom w:val="single" w:color="auto" w:sz="4" w:space="0"/>
              <w:right w:val="single" w:color="auto" w:sz="4" w:space="0"/>
            </w:tcBorders>
          </w:tcPr>
          <w:p>
            <w:pPr>
              <w:pStyle w:val="34"/>
            </w:pPr>
          </w:p>
        </w:tc>
        <w:tc>
          <w:tcPr>
            <w:tcW w:w="0" w:type="auto"/>
            <w:tcBorders>
              <w:top w:val="single" w:color="auto" w:sz="4" w:space="0"/>
              <w:left w:val="single" w:color="auto" w:sz="4" w:space="0"/>
              <w:bottom w:val="single" w:color="auto" w:sz="4" w:space="0"/>
              <w:right w:val="single" w:color="auto" w:sz="4" w:space="0"/>
            </w:tcBorders>
          </w:tcPr>
          <w:p>
            <w:pPr>
              <w:pStyle w:val="34"/>
              <w:rPr>
                <w:rFonts w:hint="default" w:eastAsiaTheme="minorEastAsia"/>
                <w:lang w:val="en-US" w:eastAsia="zh-CN"/>
              </w:rPr>
            </w:pPr>
            <w:r>
              <w:rPr>
                <w:rFonts w:hint="eastAsia" w:eastAsiaTheme="minorEastAsia"/>
                <w:lang w:val="en-US" w:eastAsia="zh-CN"/>
              </w:rPr>
              <w:t>NCR-Fwd</w:t>
            </w:r>
          </w:p>
        </w:tc>
        <w:tc>
          <w:tcPr>
            <w:tcW w:w="0" w:type="auto"/>
            <w:tcBorders>
              <w:top w:val="single" w:color="auto" w:sz="4" w:space="0"/>
              <w:left w:val="single" w:color="auto" w:sz="4" w:space="0"/>
              <w:bottom w:val="single" w:color="auto" w:sz="4" w:space="0"/>
              <w:right w:val="single" w:color="auto" w:sz="4" w:space="0"/>
            </w:tcBorders>
          </w:tcPr>
          <w:p>
            <w:pPr>
              <w:pStyle w:val="34"/>
              <w:rPr>
                <w:rFonts w:hint="default" w:eastAsiaTheme="minorEastAsia"/>
                <w:lang w:val="en-US" w:eastAsia="zh-CN"/>
              </w:rPr>
            </w:pPr>
            <w:r>
              <w:rPr>
                <w:rFonts w:hint="eastAsia" w:eastAsiaTheme="minorEastAsia"/>
                <w:lang w:val="en-US" w:eastAsia="zh-CN"/>
              </w:rPr>
              <w:t>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D.1</w:t>
            </w:r>
          </w:p>
        </w:tc>
        <w:tc>
          <w:tcPr>
            <w:tcW w:w="0" w:type="auto"/>
            <w:tcBorders>
              <w:top w:val="single" w:color="auto" w:sz="4" w:space="0"/>
              <w:left w:val="single" w:color="auto" w:sz="4" w:space="0"/>
              <w:bottom w:val="single" w:color="auto" w:sz="4" w:space="0"/>
              <w:right w:val="single" w:color="auto" w:sz="4" w:space="0"/>
            </w:tcBorders>
          </w:tcPr>
          <w:p>
            <w:pPr>
              <w:pStyle w:val="36"/>
            </w:pPr>
            <w:r>
              <w:rPr>
                <w:rFonts w:hint="eastAsia"/>
                <w:lang w:val="en-US" w:eastAsia="zh-CN"/>
              </w:rPr>
              <w:t>NCR</w:t>
            </w:r>
            <w:r>
              <w:rPr>
                <w:lang w:eastAsia="zh-CN"/>
              </w:rPr>
              <w:t xml:space="preserve"> class</w:t>
            </w:r>
          </w:p>
        </w:tc>
        <w:tc>
          <w:tcPr>
            <w:tcW w:w="0" w:type="auto"/>
            <w:tcBorders>
              <w:top w:val="single" w:color="auto" w:sz="4" w:space="0"/>
              <w:left w:val="single" w:color="auto" w:sz="4" w:space="0"/>
              <w:bottom w:val="single" w:color="auto" w:sz="4" w:space="0"/>
              <w:right w:val="single" w:color="auto" w:sz="4" w:space="0"/>
            </w:tcBorders>
          </w:tcPr>
          <w:p>
            <w:pPr>
              <w:pStyle w:val="36"/>
            </w:pPr>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D.2</w:t>
            </w: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r>
              <w:rPr>
                <w:i/>
              </w:rPr>
              <w:t>Operating bands</w:t>
            </w:r>
            <w:r>
              <w:t xml:space="preserve"> and passband frequency ranges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p>
          <w:p>
            <w:pPr>
              <w:pStyle w:val="36"/>
              <w:rPr>
                <w:lang w:eastAsia="zh-CN"/>
              </w:rPr>
            </w:pPr>
            <w:r>
              <w:t xml:space="preserve">Declarations shall be made per </w:t>
            </w:r>
            <w:r>
              <w:rPr>
                <w:i/>
              </w:rPr>
              <w:t>antenna connector</w:t>
            </w:r>
            <w:r>
              <w:t>.</w:t>
            </w:r>
          </w:p>
        </w:tc>
        <w:tc>
          <w:tcPr>
            <w:tcW w:w="0" w:type="auto"/>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t>D.3</w:t>
            </w:r>
          </w:p>
        </w:tc>
        <w:tc>
          <w:tcPr>
            <w:tcW w:w="0" w:type="auto"/>
            <w:tcBorders>
              <w:top w:val="single" w:color="auto" w:sz="4" w:space="0"/>
              <w:left w:val="single" w:color="auto" w:sz="4" w:space="0"/>
              <w:bottom w:val="single" w:color="auto" w:sz="4" w:space="0"/>
              <w:right w:val="single" w:color="auto" w:sz="4" w:space="0"/>
            </w:tcBorders>
          </w:tcPr>
          <w:p>
            <w:pPr>
              <w:pStyle w:val="36"/>
              <w:rPr>
                <w:i/>
              </w:rPr>
            </w:pPr>
            <w:r>
              <w:t>Spurious emission category</w:t>
            </w:r>
          </w:p>
        </w:tc>
        <w:tc>
          <w:tcPr>
            <w:tcW w:w="0" w:type="auto"/>
            <w:tcBorders>
              <w:top w:val="single" w:color="auto" w:sz="4" w:space="0"/>
              <w:left w:val="single" w:color="auto" w:sz="4" w:space="0"/>
              <w:bottom w:val="single" w:color="auto" w:sz="4" w:space="0"/>
              <w:right w:val="single" w:color="auto" w:sz="4" w:space="0"/>
            </w:tcBorders>
          </w:tcPr>
          <w:p>
            <w:pPr>
              <w:pStyle w:val="36"/>
            </w:pPr>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D.4</w:t>
            </w:r>
          </w:p>
        </w:tc>
        <w:tc>
          <w:tcPr>
            <w:tcW w:w="0" w:type="auto"/>
            <w:tcBorders>
              <w:top w:val="single" w:color="auto" w:sz="4" w:space="0"/>
              <w:left w:val="single" w:color="auto" w:sz="4" w:space="0"/>
              <w:bottom w:val="single" w:color="auto" w:sz="4" w:space="0"/>
              <w:right w:val="single" w:color="auto" w:sz="4" w:space="0"/>
            </w:tcBorders>
          </w:tcPr>
          <w:p>
            <w:pPr>
              <w:pStyle w:val="36"/>
            </w:pPr>
            <w:r>
              <w:rPr>
                <w:rFonts w:cs="v4.2.0"/>
              </w:rPr>
              <w:t>Additional operating band unwanted emissions</w:t>
            </w:r>
          </w:p>
        </w:tc>
        <w:tc>
          <w:tcPr>
            <w:tcW w:w="0" w:type="auto"/>
            <w:tcBorders>
              <w:top w:val="single" w:color="auto" w:sz="4" w:space="0"/>
              <w:left w:val="single" w:color="auto" w:sz="4" w:space="0"/>
              <w:bottom w:val="single" w:color="auto" w:sz="4" w:space="0"/>
              <w:right w:val="single" w:color="auto" w:sz="4" w:space="0"/>
            </w:tcBorders>
          </w:tcPr>
          <w:p>
            <w:pPr>
              <w:pStyle w:val="36"/>
            </w:pPr>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D.5</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r>
              <w:t>Co-existence with other systems</w:t>
            </w:r>
          </w:p>
        </w:tc>
        <w:tc>
          <w:tcPr>
            <w:tcW w:w="0" w:type="auto"/>
            <w:tcBorders>
              <w:top w:val="single" w:color="auto" w:sz="4" w:space="0"/>
              <w:left w:val="single" w:color="auto" w:sz="4" w:space="0"/>
              <w:bottom w:val="single" w:color="auto" w:sz="4" w:space="0"/>
              <w:right w:val="single" w:color="auto" w:sz="4" w:space="0"/>
            </w:tcBorders>
          </w:tcPr>
          <w:p>
            <w:pPr>
              <w:pStyle w:val="36"/>
              <w:rPr>
                <w:rFonts w:cs="Arial"/>
              </w:rPr>
            </w:pPr>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D.6</w:t>
            </w: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r>
              <w:t>Co-location with other base stations</w:t>
            </w:r>
            <w:r>
              <w:rPr>
                <w:lang w:eastAsia="zh-CN"/>
              </w:rPr>
              <w:t xml:space="preserve">, </w:t>
            </w:r>
            <w:r>
              <w:rPr>
                <w:rFonts w:hint="eastAsia"/>
                <w:lang w:eastAsia="zh-CN"/>
              </w:rPr>
              <w:t>NCR</w:t>
            </w:r>
            <w:r>
              <w:rPr>
                <w:lang w:eastAsia="zh-CN"/>
              </w:rPr>
              <w:t>s and IABs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D.7</w:t>
            </w:r>
          </w:p>
        </w:tc>
        <w:tc>
          <w:tcPr>
            <w:tcW w:w="0" w:type="auto"/>
            <w:tcBorders>
              <w:top w:val="single" w:color="auto" w:sz="4" w:space="0"/>
              <w:left w:val="single" w:color="auto" w:sz="4" w:space="0"/>
              <w:bottom w:val="single" w:color="auto" w:sz="4" w:space="0"/>
              <w:right w:val="single" w:color="auto" w:sz="4" w:space="0"/>
            </w:tcBorders>
          </w:tcPr>
          <w:p>
            <w:pPr>
              <w:pStyle w:val="36"/>
            </w:pPr>
            <w:r>
              <w:rPr>
                <w:i/>
              </w:rPr>
              <w:t xml:space="preserve">Single band connector </w:t>
            </w:r>
            <w:r>
              <w:t>or</w:t>
            </w:r>
            <w:r>
              <w:rPr>
                <w:i/>
              </w:rPr>
              <w:t xml:space="preserve"> multi-band connector</w:t>
            </w:r>
          </w:p>
        </w:tc>
        <w:tc>
          <w:tcPr>
            <w:tcW w:w="0" w:type="auto"/>
            <w:tcBorders>
              <w:top w:val="single" w:color="auto" w:sz="4" w:space="0"/>
              <w:left w:val="single" w:color="auto" w:sz="4" w:space="0"/>
              <w:bottom w:val="single" w:color="auto" w:sz="4" w:space="0"/>
              <w:right w:val="single" w:color="auto" w:sz="4" w:space="0"/>
            </w:tcBorders>
          </w:tcPr>
          <w:p>
            <w:pPr>
              <w:pStyle w:val="36"/>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D.8</w:t>
            </w: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r>
              <w:t>Other band combination multi-band restrictions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pPr>
              <w:pStyle w:val="36"/>
            </w:pPr>
            <w:r>
              <w:t xml:space="preserve">Declared for every </w:t>
            </w:r>
            <w:r>
              <w:rPr>
                <w:i/>
              </w:rPr>
              <w:t>multi-band connector</w:t>
            </w:r>
            <w:r>
              <w:t>.</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D.9</w:t>
            </w:r>
          </w:p>
        </w:tc>
        <w:tc>
          <w:tcPr>
            <w:tcW w:w="0" w:type="auto"/>
            <w:tcBorders>
              <w:top w:val="single" w:color="auto" w:sz="4" w:space="0"/>
              <w:left w:val="single" w:color="auto" w:sz="4" w:space="0"/>
              <w:bottom w:val="single" w:color="auto" w:sz="4" w:space="0"/>
              <w:right w:val="single" w:color="auto" w:sz="4" w:space="0"/>
            </w:tcBorders>
          </w:tcPr>
          <w:p>
            <w:pPr>
              <w:pStyle w:val="36"/>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0" w:type="auto"/>
            <w:tcBorders>
              <w:top w:val="single" w:color="auto" w:sz="4" w:space="0"/>
              <w:left w:val="single" w:color="auto" w:sz="4" w:space="0"/>
              <w:bottom w:val="single" w:color="auto" w:sz="4" w:space="0"/>
              <w:right w:val="single" w:color="auto" w:sz="4" w:space="0"/>
            </w:tcBorders>
          </w:tcPr>
          <w:p>
            <w:pPr>
              <w:pStyle w:val="36"/>
            </w:pPr>
            <w:r>
              <w:t xml:space="preserve">Conducted rated output power per passband, per </w:t>
            </w:r>
            <w:r>
              <w:rPr>
                <w:i/>
              </w:rPr>
              <w:t xml:space="preserve">single band connector </w:t>
            </w:r>
            <w:r>
              <w:t>or</w:t>
            </w:r>
            <w:r>
              <w:rPr>
                <w:i/>
              </w:rPr>
              <w:t xml:space="preserve"> multi-band connector.</w:t>
            </w:r>
          </w:p>
          <w:p>
            <w:pPr>
              <w:pStyle w:val="36"/>
            </w:pPr>
            <w:r>
              <w:t xml:space="preserve">Declared per supported </w:t>
            </w:r>
            <w:r>
              <w:rPr>
                <w:i/>
              </w:rPr>
              <w:t>passband</w:t>
            </w:r>
            <w:r>
              <w:t xml:space="preserve">, per </w:t>
            </w:r>
            <w:r>
              <w:rPr>
                <w:i/>
              </w:rPr>
              <w:t>antenna connector.</w:t>
            </w:r>
            <w:r>
              <w:t xml:space="preserve"> (Note 1)</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D.10</w:t>
            </w:r>
          </w:p>
        </w:tc>
        <w:tc>
          <w:tcPr>
            <w:tcW w:w="0" w:type="auto"/>
            <w:tcBorders>
              <w:top w:val="single" w:color="auto" w:sz="4" w:space="0"/>
              <w:left w:val="single" w:color="auto" w:sz="4" w:space="0"/>
              <w:bottom w:val="single" w:color="auto" w:sz="4" w:space="0"/>
              <w:right w:val="single" w:color="auto" w:sz="4" w:space="0"/>
            </w:tcBorders>
          </w:tcPr>
          <w:p>
            <w:pPr>
              <w:pStyle w:val="36"/>
            </w:pPr>
            <w:r>
              <w:t>R</w:t>
            </w:r>
            <w:r>
              <w:rPr>
                <w:i/>
              </w:rPr>
              <w:t xml:space="preserve">ated total output power </w:t>
            </w:r>
            <w:r>
              <w:t>(</w:t>
            </w:r>
            <w:r>
              <w:rPr>
                <w:lang w:eastAsia="zh-CN"/>
              </w:rPr>
              <w:t>P</w:t>
            </w:r>
            <w:r>
              <w:rPr>
                <w:vertAlign w:val="subscript"/>
                <w:lang w:eastAsia="zh-CN"/>
              </w:rPr>
              <w:t>rated,t,AC</w:t>
            </w:r>
            <w:r>
              <w:t>)</w:t>
            </w:r>
          </w:p>
        </w:tc>
        <w:tc>
          <w:tcPr>
            <w:tcW w:w="0" w:type="auto"/>
            <w:tcBorders>
              <w:top w:val="single" w:color="auto" w:sz="4" w:space="0"/>
              <w:left w:val="single" w:color="auto" w:sz="4" w:space="0"/>
              <w:bottom w:val="single" w:color="auto" w:sz="4" w:space="0"/>
              <w:right w:val="single" w:color="auto" w:sz="4" w:space="0"/>
            </w:tcBorders>
          </w:tcPr>
          <w:p>
            <w:pPr>
              <w:pStyle w:val="36"/>
            </w:pPr>
            <w:r>
              <w:t>Conducted total rated output power</w:t>
            </w:r>
            <w:r>
              <w:rPr>
                <w:i/>
              </w:rPr>
              <w:t>.</w:t>
            </w:r>
          </w:p>
          <w:p>
            <w:pPr>
              <w:pStyle w:val="36"/>
              <w:rPr>
                <w:i/>
              </w:rPr>
            </w:pPr>
            <w:r>
              <w:t xml:space="preserve">Declared per supported </w:t>
            </w:r>
            <w:r>
              <w:rPr>
                <w:i/>
              </w:rPr>
              <w:t>operating band</w:t>
            </w:r>
            <w:r>
              <w:t xml:space="preserve">, per </w:t>
            </w:r>
            <w:r>
              <w:rPr>
                <w:i/>
              </w:rPr>
              <w:t>antenna connector.</w:t>
            </w:r>
          </w:p>
          <w:p>
            <w:pPr>
              <w:pStyle w:val="36"/>
            </w:pPr>
            <w:r>
              <w:t xml:space="preserve">For </w:t>
            </w:r>
            <w:r>
              <w:rPr>
                <w:i/>
              </w:rPr>
              <w:t xml:space="preserve">multi-band connectors </w:t>
            </w:r>
            <w:r>
              <w:t xml:space="preserve">declared for each supported </w:t>
            </w:r>
            <w:r>
              <w:rPr>
                <w:i/>
              </w:rPr>
              <w:t>operating band</w:t>
            </w:r>
            <w:r>
              <w:t xml:space="preserve"> in each supported band combination. (Note 1)</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D.11</w:t>
            </w:r>
          </w:p>
        </w:tc>
        <w:tc>
          <w:tcPr>
            <w:tcW w:w="0" w:type="auto"/>
            <w:tcBorders>
              <w:top w:val="single" w:color="auto" w:sz="4" w:space="0"/>
              <w:left w:val="single" w:color="auto" w:sz="4" w:space="0"/>
              <w:bottom w:val="single" w:color="auto" w:sz="4" w:space="0"/>
              <w:right w:val="single" w:color="auto" w:sz="4" w:space="0"/>
            </w:tcBorders>
          </w:tcPr>
          <w:p>
            <w:pPr>
              <w:pStyle w:val="36"/>
            </w:pPr>
            <w:r>
              <w:t>Rated multi-band total output power, P</w:t>
            </w:r>
            <w:r>
              <w:rPr>
                <w:vertAlign w:val="subscript"/>
              </w:rPr>
              <w:t>rated,MB,TABC</w:t>
            </w:r>
          </w:p>
        </w:tc>
        <w:tc>
          <w:tcPr>
            <w:tcW w:w="0" w:type="auto"/>
            <w:tcBorders>
              <w:top w:val="single" w:color="auto" w:sz="4" w:space="0"/>
              <w:left w:val="single" w:color="auto" w:sz="4" w:space="0"/>
              <w:bottom w:val="single" w:color="auto" w:sz="4" w:space="0"/>
              <w:right w:val="single" w:color="auto" w:sz="4" w:space="0"/>
            </w:tcBorders>
          </w:tcPr>
          <w:p>
            <w:pPr>
              <w:pStyle w:val="36"/>
            </w:pPr>
            <w:r>
              <w:t>Conducted multi-band rated total output power</w:t>
            </w:r>
            <w:r>
              <w:rPr>
                <w:i/>
              </w:rPr>
              <w:t>.</w:t>
            </w:r>
          </w:p>
          <w:p>
            <w:pPr>
              <w:pStyle w:val="36"/>
            </w:pPr>
            <w:r>
              <w:t xml:space="preserve">Declared per supported operating band combinations, per </w:t>
            </w:r>
            <w:r>
              <w:rPr>
                <w:i/>
              </w:rPr>
              <w:t>multi-band connector</w:t>
            </w:r>
            <w:r>
              <w:t>. (Note 1)</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D.12</w:t>
            </w:r>
          </w:p>
        </w:tc>
        <w:tc>
          <w:tcPr>
            <w:tcW w:w="0" w:type="auto"/>
            <w:tcBorders>
              <w:top w:val="single" w:color="auto" w:sz="4" w:space="0"/>
              <w:left w:val="single" w:color="auto" w:sz="4" w:space="0"/>
              <w:bottom w:val="single" w:color="auto" w:sz="4" w:space="0"/>
              <w:right w:val="single" w:color="auto" w:sz="4" w:space="0"/>
            </w:tcBorders>
          </w:tcPr>
          <w:p>
            <w:pPr>
              <w:pStyle w:val="36"/>
            </w:pPr>
            <w:r>
              <w:t>Operating band combination support</w:t>
            </w: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t>D.13</w:t>
            </w:r>
          </w:p>
        </w:tc>
        <w:tc>
          <w:tcPr>
            <w:tcW w:w="0" w:type="auto"/>
            <w:tcBorders>
              <w:top w:val="single" w:color="auto" w:sz="4" w:space="0"/>
              <w:left w:val="single" w:color="auto" w:sz="4" w:space="0"/>
              <w:bottom w:val="single" w:color="auto" w:sz="4" w:space="0"/>
              <w:right w:val="single" w:color="auto" w:sz="4" w:space="0"/>
            </w:tcBorders>
          </w:tcPr>
          <w:p>
            <w:pPr>
              <w:pStyle w:val="36"/>
            </w:pPr>
            <w:r>
              <w:rPr>
                <w:lang w:eastAsia="zh-CN"/>
              </w:rPr>
              <w:t>Equivalent</w:t>
            </w:r>
            <w:r>
              <w:t xml:space="preserve"> connectors</w:t>
            </w:r>
          </w:p>
        </w:tc>
        <w:tc>
          <w:tcPr>
            <w:tcW w:w="0" w:type="auto"/>
            <w:tcBorders>
              <w:top w:val="single" w:color="auto" w:sz="4" w:space="0"/>
              <w:left w:val="single" w:color="auto" w:sz="4" w:space="0"/>
              <w:bottom w:val="single" w:color="auto" w:sz="4" w:space="0"/>
              <w:right w:val="single" w:color="auto" w:sz="4" w:space="0"/>
            </w:tcBorders>
          </w:tcPr>
          <w:p>
            <w:pPr>
              <w:pStyle w:val="36"/>
            </w:pPr>
            <w:r>
              <w:t xml:space="preserve">List of </w:t>
            </w:r>
            <w:r>
              <w:rPr>
                <w:i/>
              </w:rPr>
              <w:t>antenna connectors</w:t>
            </w:r>
            <w:r>
              <w:t xml:space="preserve"> which have been declared equivalent.</w:t>
            </w:r>
          </w:p>
          <w:p>
            <w:pPr>
              <w:pStyle w:val="36"/>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D.14</w:t>
            </w:r>
          </w:p>
        </w:tc>
        <w:tc>
          <w:tcPr>
            <w:tcW w:w="0" w:type="auto"/>
            <w:tcBorders>
              <w:top w:val="single" w:color="auto" w:sz="4" w:space="0"/>
              <w:left w:val="single" w:color="auto" w:sz="4" w:space="0"/>
              <w:bottom w:val="single" w:color="auto" w:sz="4" w:space="0"/>
              <w:right w:val="single" w:color="auto" w:sz="4" w:space="0"/>
            </w:tcBorders>
          </w:tcPr>
          <w:p>
            <w:pPr>
              <w:pStyle w:val="36"/>
              <w:rPr>
                <w:i/>
                <w:lang w:eastAsia="zh-CN"/>
              </w:rPr>
            </w:pPr>
            <w:r>
              <w:rPr>
                <w:rFonts w:cs="v4.2.0"/>
              </w:rPr>
              <w:t xml:space="preserve">Connecting network loss range for </w:t>
            </w:r>
            <w:r>
              <w:rPr>
                <w:rFonts w:hint="eastAsia" w:cs="v4.2.0"/>
                <w:lang w:eastAsia="zh-CN"/>
              </w:rPr>
              <w:t>NCR</w:t>
            </w:r>
            <w:r>
              <w:rPr>
                <w:rFonts w:cs="v4.2.0"/>
              </w:rPr>
              <w:t xml:space="preserve"> testing with ancillary RF amplifiers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r>
              <w:rPr>
                <w:rFonts w:cs="v4.2.0"/>
              </w:rPr>
              <w:t xml:space="preserve">Declaration of the range of connecting network losses (in dB) for </w:t>
            </w:r>
            <w:r>
              <w:rPr>
                <w:rFonts w:hint="eastAsia" w:cs="v4.2.0"/>
                <w:i/>
                <w:lang w:eastAsia="zh-CN"/>
              </w:rPr>
              <w:t>NCR</w:t>
            </w:r>
            <w:r>
              <w:rPr>
                <w:rFonts w:cs="v4.2.0"/>
                <w:i/>
              </w:rPr>
              <w:t xml:space="preserve"> type 1-C</w:t>
            </w:r>
            <w:r>
              <w:rPr>
                <w:rFonts w:cs="v4.2.0"/>
              </w:rPr>
              <w:t xml:space="preserve"> testing with ancillary Tx RF amplifier only, or with Rx RF amplifier only, or with combined Tx/Rx RF amplifiers. (Note 4)</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t>D.15</w:t>
            </w:r>
          </w:p>
        </w:tc>
        <w:tc>
          <w:tcPr>
            <w:tcW w:w="0" w:type="auto"/>
            <w:tcBorders>
              <w:top w:val="single" w:color="auto" w:sz="4" w:space="0"/>
              <w:left w:val="single" w:color="auto" w:sz="4" w:space="0"/>
              <w:bottom w:val="single" w:color="auto" w:sz="4" w:space="0"/>
              <w:right w:val="single" w:color="auto" w:sz="4" w:space="0"/>
            </w:tcBorders>
          </w:tcPr>
          <w:p>
            <w:pPr>
              <w:pStyle w:val="36"/>
              <w:rPr>
                <w:rFonts w:hint="eastAsia" w:eastAsia="宋体" w:cs="v4.2.0"/>
                <w:lang w:eastAsia="zh-CN"/>
              </w:rPr>
            </w:pPr>
            <w:r>
              <w:rPr>
                <w:rFonts w:cs="v4.2.0"/>
              </w:rPr>
              <w:t xml:space="preserve">Long delay </w:t>
            </w:r>
            <w:r>
              <w:rPr>
                <w:rFonts w:hint="eastAsia" w:cs="v4.2.0"/>
                <w:lang w:eastAsia="zh-CN"/>
              </w:rPr>
              <w:t>NCR</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r>
              <w:rPr>
                <w:rFonts w:cs="v4.2.0"/>
              </w:rPr>
              <w:t xml:space="preserve">Declared only if the </w:t>
            </w:r>
            <w:r>
              <w:rPr>
                <w:rFonts w:hint="eastAsia" w:cs="v4.2.0"/>
                <w:lang w:eastAsia="zh-CN"/>
              </w:rPr>
              <w:t>NCR</w:t>
            </w:r>
            <w:r>
              <w:rPr>
                <w:rFonts w:cs="v4.2.0"/>
              </w:rPr>
              <w:t xml:space="preserve"> internal delay between the input and output for this </w:t>
            </w:r>
            <w:r>
              <w:rPr>
                <w:rFonts w:hint="eastAsia" w:cs="v4.2.0"/>
                <w:lang w:eastAsia="zh-CN"/>
              </w:rPr>
              <w:t>NCR</w:t>
            </w:r>
            <w:r>
              <w:rPr>
                <w:rFonts w:cs="v4.2.0"/>
              </w:rPr>
              <w:t xml:space="preserve"> does not fit within the TDD transient time. The </w:t>
            </w:r>
            <w:r>
              <w:rPr>
                <w:rFonts w:hint="eastAsia" w:cs="v4.2.0"/>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hint="eastAsia" w:cs="v4.2.0"/>
                <w:lang w:eastAsia="zh-CN"/>
              </w:rPr>
              <w:t>NCR</w:t>
            </w:r>
            <w:r>
              <w:rPr>
                <w:rFonts w:cs="v4.2.0"/>
              </w:rPr>
              <w:t>s internal delay is declared using this declaration.</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rFonts w:cs="Arial"/>
              </w:rPr>
            </w:pPr>
            <w:r>
              <w:t>D.16</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r>
              <w:rPr>
                <w:rFonts w:cs="v4.2.0"/>
              </w:rPr>
              <w:t>Input signal power level for maximum output power</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r>
              <w:rPr>
                <w:rFonts w:cs="v4.2.0"/>
              </w:rPr>
              <w:t>Declaration of input signal power level required to reach maximum output power. Declared per passband.</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pPr>
            <w:r>
              <w:t>D.17</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r>
              <w:rPr>
                <w:rFonts w:hint="eastAsia" w:cs="v4.2.0"/>
                <w:lang w:eastAsia="zh-CN"/>
              </w:rPr>
              <w:t>NCR</w:t>
            </w:r>
            <w:r>
              <w:rPr>
                <w:rFonts w:cs="v4.2.0"/>
              </w:rPr>
              <w:t xml:space="preserve"> radiating direction</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r>
              <w:rPr>
                <w:rFonts w:cs="v4.2.0"/>
              </w:rPr>
              <w:t xml:space="preserve">Declaration on whether the </w:t>
            </w:r>
            <w:r>
              <w:rPr>
                <w:rFonts w:hint="eastAsia" w:cs="v4.2.0"/>
                <w:lang w:eastAsia="zh-CN"/>
              </w:rPr>
              <w:t>NCR</w:t>
            </w:r>
            <w:r>
              <w:rPr>
                <w:rFonts w:cs="v4.2.0"/>
              </w:rPr>
              <w:t xml:space="preserve"> is intended to radiate in DL, UL or both. Testing shall be performed only for the direction(s) in which the </w:t>
            </w:r>
            <w:r>
              <w:rPr>
                <w:rFonts w:hint="eastAsia" w:cs="v4.2.0"/>
                <w:lang w:eastAsia="zh-CN"/>
              </w:rPr>
              <w:t>NCR</w:t>
            </w:r>
            <w:r>
              <w:rPr>
                <w:rFonts w:cs="v4.2.0"/>
              </w:rPr>
              <w:t xml:space="preserve"> radiates.</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rFonts w:hint="eastAsia" w:eastAsia="宋体"/>
                <w:lang w:val="en-US" w:eastAsia="zh-CN"/>
              </w:rPr>
            </w:pPr>
            <w:r>
              <w:t>D.1</w:t>
            </w:r>
            <w:r>
              <w:rPr>
                <w:rFonts w:hint="eastAsia"/>
                <w:lang w:val="en-US" w:eastAsia="zh-CN"/>
              </w:rPr>
              <w:t>8</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r>
              <w:rPr>
                <w:rFonts w:hint="eastAsia" w:ascii="Arial" w:hAnsi="Arial" w:cs="v4.2.0"/>
                <w:lang w:val="en-US" w:eastAsia="zh-CN"/>
              </w:rPr>
              <w:t>S</w:t>
            </w:r>
            <w:r>
              <w:rPr>
                <w:rFonts w:ascii="Arial" w:hAnsi="Arial" w:cs="v4.2.0"/>
              </w:rPr>
              <w:t xml:space="preserve">upport of simultaneous Tx of NCR-Fwd and NCR-MT </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r>
              <w:rPr>
                <w:rFonts w:hint="eastAsia" w:ascii="Arial" w:hAnsi="Arial" w:cs="v4.2.0"/>
                <w:lang w:val="en-US" w:eastAsia="zh-CN"/>
              </w:rPr>
              <w:t>Declaration on whether the NCR s</w:t>
            </w:r>
            <w:r>
              <w:rPr>
                <w:rFonts w:ascii="Arial" w:hAnsi="Arial" w:cs="v4.2.0"/>
              </w:rPr>
              <w:t xml:space="preserve">upport </w:t>
            </w:r>
            <w:r>
              <w:rPr>
                <w:rFonts w:hint="eastAsia" w:ascii="Arial" w:hAnsi="Arial" w:cs="v4.2.0"/>
                <w:lang w:val="en-US" w:eastAsia="zh-CN"/>
              </w:rPr>
              <w:t xml:space="preserve">the </w:t>
            </w:r>
            <w:r>
              <w:rPr>
                <w:rFonts w:ascii="Arial" w:hAnsi="Arial" w:cs="v4.2.0"/>
              </w:rPr>
              <w:t xml:space="preserve">simultaneous Tx of NCR-Fwd and NCR-MT </w:t>
            </w: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c>
          <w:tcPr>
            <w:tcW w:w="0" w:type="auto"/>
            <w:tcBorders>
              <w:top w:val="single" w:color="auto" w:sz="4" w:space="0"/>
              <w:left w:val="single" w:color="auto" w:sz="4" w:space="0"/>
              <w:bottom w:val="single" w:color="auto" w:sz="4" w:space="0"/>
              <w:right w:val="single" w:color="auto" w:sz="4" w:space="0"/>
            </w:tcBorders>
          </w:tcPr>
          <w:p>
            <w:pPr>
              <w:pStyle w:val="36"/>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47"/>
              <w:keepNext w:val="0"/>
              <w:rPr>
                <w:lang w:val="en-US" w:eastAsia="zh-CN"/>
              </w:rPr>
            </w:pPr>
            <w:r>
              <w:t>NOTE 1:</w:t>
            </w:r>
            <w:r>
              <w:tab/>
            </w:r>
            <w:r>
              <w:rPr>
                <w:rFonts w:cs="Arial"/>
                <w:szCs w:val="18"/>
              </w:rPr>
              <w:t xml:space="preserve">If a </w:t>
            </w:r>
            <w:r>
              <w:rPr>
                <w:rFonts w:hint="eastAsia" w:cs="Arial"/>
                <w:szCs w:val="18"/>
                <w:lang w:eastAsia="zh-CN"/>
              </w:rPr>
              <w:t>NCR</w:t>
            </w:r>
            <w:r>
              <w:rPr>
                <w:rFonts w:cs="Arial"/>
                <w:szCs w:val="18"/>
              </w:rPr>
              <w:t xml:space="preserve"> is capable of 256QAM operation then up to two rated output power declarations may be made. One declaration is applicable when configured for 256QAM operation, and the other declaration is applicable when not configured for 256QAM operation</w:t>
            </w:r>
            <w:r>
              <w:t xml:space="preserve">. If a </w:t>
            </w:r>
            <w:r>
              <w:rPr>
                <w:rFonts w:hint="eastAsia"/>
                <w:lang w:eastAsia="zh-CN"/>
              </w:rPr>
              <w:t>NCR</w:t>
            </w:r>
            <w:r>
              <w:t xml:space="preserve"> is not capable of 256QAM operation, only one declaration can be made.</w:t>
            </w:r>
          </w:p>
          <w:p>
            <w:pPr>
              <w:pStyle w:val="47"/>
              <w:keepNext w:val="0"/>
              <w:rPr>
                <w:rFonts w:cs="v4.2.0"/>
              </w:rPr>
            </w:pPr>
            <w:r>
              <w:t>NOTE 2:</w:t>
            </w:r>
            <w:r>
              <w:rPr>
                <w:rFonts w:cs="Arial"/>
                <w:szCs w:val="18"/>
              </w:rPr>
              <w:tab/>
            </w:r>
            <w:r>
              <w:rPr>
                <w:rFonts w:cs="Arial"/>
                <w:szCs w:val="18"/>
              </w:rPr>
              <w:t xml:space="preserve">If </w:t>
            </w:r>
            <w:r>
              <w:rPr>
                <w:rFonts w:hint="eastAsia" w:cs="Arial"/>
                <w:szCs w:val="18"/>
                <w:lang w:eastAsia="zh-CN"/>
              </w:rPr>
              <w:t>NCR</w:t>
            </w:r>
            <w:r>
              <w:rPr>
                <w:rFonts w:cs="Arial"/>
                <w:szCs w:val="18"/>
              </w:rPr>
              <w:t xml:space="preserve"> is declared to support Band n20 (D.2), the manufacturer shall declare if the </w:t>
            </w:r>
            <w:r>
              <w:rPr>
                <w:rFonts w:hint="eastAsia" w:cs="Arial"/>
                <w:szCs w:val="18"/>
                <w:lang w:eastAsia="zh-CN"/>
              </w:rPr>
              <w:t>NCR</w:t>
            </w:r>
            <w:r>
              <w:rPr>
                <w:rFonts w:cs="Arial"/>
                <w:szCs w:val="18"/>
              </w:rPr>
              <w:t xml:space="preserve"> may operate in geographical areas allocated to broadcasting (DTT). Additionally, related declarations of the emission levels and maximum output power shall be declared.</w:t>
            </w:r>
          </w:p>
          <w:p>
            <w:pPr>
              <w:pStyle w:val="47"/>
              <w:keepNext w:val="0"/>
            </w:pPr>
            <w:r>
              <w:t>NOTE 3:</w:t>
            </w:r>
            <w:r>
              <w:tab/>
            </w:r>
            <w:r>
              <w:t xml:space="preserve">If </w:t>
            </w:r>
            <w:r>
              <w:rPr>
                <w:rFonts w:hint="eastAsia"/>
                <w:lang w:eastAsia="zh-CN"/>
              </w:rPr>
              <w:t>NCR</w:t>
            </w:r>
            <w:r>
              <w:t xml:space="preserve"> BS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p>
          <w:p>
            <w:pPr>
              <w:pStyle w:val="47"/>
              <w:keepNext w:val="0"/>
            </w:pPr>
            <w:r>
              <w:t>NOTE 4:</w:t>
            </w:r>
            <w:r>
              <w:tab/>
            </w:r>
            <w:r>
              <w:t xml:space="preserve">This manufacturer declaration is optional. </w:t>
            </w:r>
          </w:p>
        </w:tc>
      </w:tr>
    </w:tbl>
    <w:p>
      <w:pPr>
        <w:spacing w:line="240" w:lineRule="auto"/>
        <w:rPr>
          <w:sz w:val="20"/>
        </w:rPr>
      </w:pPr>
    </w:p>
    <w:p>
      <w:pPr>
        <w:pStyle w:val="44"/>
      </w:pPr>
      <w:r>
        <w:t xml:space="preserve">Table </w:t>
      </w:r>
      <w:r>
        <w:rPr>
          <w:rFonts w:hint="eastAsia"/>
          <w:lang w:val="en-US" w:eastAsia="zh-CN"/>
        </w:rPr>
        <w:t>2</w:t>
      </w:r>
      <w:r>
        <w:t>.</w:t>
      </w:r>
      <w:r>
        <w:rPr>
          <w:rFonts w:hint="eastAsia"/>
          <w:lang w:val="en-US" w:eastAsia="zh-CN"/>
        </w:rPr>
        <w:t>3</w:t>
      </w:r>
      <w:r>
        <w:t>-</w:t>
      </w:r>
      <w:r>
        <w:rPr>
          <w:rFonts w:hint="eastAsia" w:eastAsia="宋体"/>
          <w:lang w:val="en-US" w:eastAsia="zh-CN"/>
        </w:rPr>
        <w:t>2</w:t>
      </w:r>
      <w:r>
        <w:t xml:space="preserve">: Manufacturers declarations for </w:t>
      </w:r>
      <w:r>
        <w:rPr>
          <w:rFonts w:hint="eastAsia" w:eastAsia="宋体"/>
          <w:lang w:val="en-US" w:eastAsia="zh-CN"/>
        </w:rPr>
        <w:t>NCR</w:t>
      </w:r>
      <w:r>
        <w:rPr>
          <w:i/>
        </w:rPr>
        <w:t xml:space="preserve"> type 2-O </w:t>
      </w:r>
      <w:r>
        <w:rPr>
          <w:rFonts w:eastAsia="宋体"/>
        </w:rPr>
        <w:t>radiated test requirements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0"/>
        <w:gridCol w:w="2015"/>
        <w:gridCol w:w="4715"/>
        <w:gridCol w:w="1026"/>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tcBorders>
              <w:top w:val="single" w:color="auto" w:sz="4" w:space="0"/>
              <w:left w:val="single" w:color="auto" w:sz="4" w:space="0"/>
              <w:right w:val="single" w:color="auto" w:sz="4" w:space="0"/>
            </w:tcBorders>
          </w:tcPr>
          <w:p>
            <w:pPr>
              <w:pStyle w:val="34"/>
              <w:rPr>
                <w:lang w:eastAsia="ja-JP"/>
              </w:rPr>
            </w:pPr>
            <w:r>
              <w:rPr>
                <w:lang w:eastAsia="ja-JP"/>
              </w:rPr>
              <w:t>Declaration identifier</w:t>
            </w:r>
          </w:p>
        </w:tc>
        <w:tc>
          <w:tcPr>
            <w:tcW w:w="0" w:type="auto"/>
            <w:vMerge w:val="restart"/>
            <w:tcBorders>
              <w:top w:val="single" w:color="auto" w:sz="4" w:space="0"/>
              <w:left w:val="single" w:color="auto" w:sz="4" w:space="0"/>
              <w:right w:val="single" w:color="auto" w:sz="4" w:space="0"/>
            </w:tcBorders>
          </w:tcPr>
          <w:p>
            <w:pPr>
              <w:pStyle w:val="34"/>
              <w:rPr>
                <w:lang w:eastAsia="ja-JP"/>
              </w:rPr>
            </w:pPr>
            <w:r>
              <w:rPr>
                <w:lang w:eastAsia="ja-JP"/>
              </w:rPr>
              <w:t>Declaration</w:t>
            </w:r>
          </w:p>
        </w:tc>
        <w:tc>
          <w:tcPr>
            <w:tcW w:w="0" w:type="auto"/>
            <w:vMerge w:val="restart"/>
            <w:tcBorders>
              <w:top w:val="single" w:color="auto" w:sz="4" w:space="0"/>
              <w:left w:val="single" w:color="auto" w:sz="4" w:space="0"/>
              <w:right w:val="single" w:color="auto" w:sz="4" w:space="0"/>
            </w:tcBorders>
          </w:tcPr>
          <w:p>
            <w:pPr>
              <w:pStyle w:val="34"/>
              <w:rPr>
                <w:lang w:eastAsia="ja-JP"/>
              </w:rPr>
            </w:pPr>
            <w:r>
              <w:rPr>
                <w:lang w:eastAsia="ja-JP"/>
              </w:rPr>
              <w:t>Description</w:t>
            </w:r>
          </w:p>
        </w:tc>
        <w:tc>
          <w:tcPr>
            <w:tcW w:w="0" w:type="auto"/>
            <w:gridSpan w:val="2"/>
            <w:tcBorders>
              <w:top w:val="single" w:color="auto" w:sz="4" w:space="0"/>
              <w:left w:val="single" w:color="auto" w:sz="4" w:space="0"/>
              <w:bottom w:val="nil"/>
              <w:right w:val="single" w:color="auto" w:sz="4" w:space="0"/>
            </w:tcBorders>
          </w:tcPr>
          <w:p>
            <w:pPr>
              <w:pStyle w:val="34"/>
              <w:rPr>
                <w:rFonts w:hint="eastAsia" w:eastAsia="宋体"/>
                <w:lang w:eastAsia="zh-CN"/>
              </w:rPr>
            </w:pPr>
            <w:r>
              <w:rPr>
                <w:rFonts w:hint="eastAsia" w:eastAsia="宋体"/>
                <w:lang w:eastAsia="zh-CN"/>
              </w:rPr>
              <w:tab/>
            </w:r>
          </w:p>
          <w:p>
            <w:pPr>
              <w:rPr>
                <w:rFonts w:hint="eastAsia"/>
                <w:lang w:eastAsia="zh-CN"/>
              </w:rPr>
            </w:pPr>
            <w:r>
              <w:rPr>
                <w:rFonts w:hint="default" w:ascii="Arial" w:hAnsi="Arial"/>
                <w:b/>
                <w:sz w:val="18"/>
                <w:lang w:val="en-GB" w:eastAsia="ja-JP"/>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tcBorders>
              <w:left w:val="single" w:color="auto" w:sz="4" w:space="0"/>
              <w:bottom w:val="nil"/>
              <w:right w:val="single" w:color="auto" w:sz="4" w:space="0"/>
            </w:tcBorders>
          </w:tcPr>
          <w:p>
            <w:pPr>
              <w:pStyle w:val="34"/>
              <w:rPr>
                <w:lang w:eastAsia="ja-JP"/>
              </w:rPr>
            </w:pPr>
          </w:p>
        </w:tc>
        <w:tc>
          <w:tcPr>
            <w:tcW w:w="0" w:type="auto"/>
            <w:vMerge w:val="continue"/>
            <w:tcBorders>
              <w:left w:val="single" w:color="auto" w:sz="4" w:space="0"/>
              <w:bottom w:val="nil"/>
              <w:right w:val="single" w:color="auto" w:sz="4" w:space="0"/>
            </w:tcBorders>
          </w:tcPr>
          <w:p>
            <w:pPr>
              <w:pStyle w:val="34"/>
              <w:rPr>
                <w:lang w:eastAsia="ja-JP"/>
              </w:rPr>
            </w:pPr>
          </w:p>
        </w:tc>
        <w:tc>
          <w:tcPr>
            <w:tcW w:w="0" w:type="auto"/>
            <w:vMerge w:val="continue"/>
            <w:tcBorders>
              <w:left w:val="single" w:color="auto" w:sz="4" w:space="0"/>
              <w:bottom w:val="nil"/>
              <w:right w:val="single" w:color="auto" w:sz="4" w:space="0"/>
            </w:tcBorders>
          </w:tcPr>
          <w:p>
            <w:pPr>
              <w:pStyle w:val="34"/>
              <w:rPr>
                <w:lang w:eastAsia="ja-JP"/>
              </w:rPr>
            </w:pPr>
          </w:p>
        </w:tc>
        <w:tc>
          <w:tcPr>
            <w:tcW w:w="0" w:type="auto"/>
            <w:tcBorders>
              <w:top w:val="single" w:color="auto" w:sz="4" w:space="0"/>
              <w:left w:val="single" w:color="auto" w:sz="4" w:space="0"/>
              <w:bottom w:val="nil"/>
              <w:right w:val="single" w:color="auto" w:sz="4" w:space="0"/>
            </w:tcBorders>
          </w:tcPr>
          <w:p>
            <w:pPr>
              <w:rPr>
                <w:rFonts w:hint="eastAsia"/>
                <w:lang w:val="en-US" w:eastAsia="zh-CN"/>
              </w:rPr>
            </w:pPr>
            <w:r>
              <w:rPr>
                <w:rFonts w:hint="default" w:ascii="Arial" w:hAnsi="Arial" w:eastAsia="Times New Roman"/>
                <w:b/>
                <w:sz w:val="18"/>
                <w:lang w:val="en-GB" w:eastAsia="ja-JP"/>
              </w:rPr>
              <w:t>NCR-Fwd</w:t>
            </w:r>
          </w:p>
        </w:tc>
        <w:tc>
          <w:tcPr>
            <w:tcW w:w="0" w:type="auto"/>
            <w:tcBorders>
              <w:top w:val="single" w:color="auto" w:sz="4" w:space="0"/>
              <w:left w:val="single" w:color="auto" w:sz="4" w:space="0"/>
              <w:bottom w:val="nil"/>
              <w:right w:val="single" w:color="auto" w:sz="4" w:space="0"/>
            </w:tcBorders>
          </w:tcPr>
          <w:p>
            <w:pPr>
              <w:rPr>
                <w:rFonts w:hint="eastAsia"/>
                <w:lang w:eastAsia="zh-CN"/>
              </w:rPr>
            </w:pPr>
            <w:r>
              <w:rPr>
                <w:rFonts w:hint="default" w:ascii="Arial" w:hAnsi="Arial" w:eastAsia="Times New Roman"/>
                <w:b/>
                <w:sz w:val="18"/>
                <w:lang w:val="en-GB" w:eastAsia="ja-JP"/>
              </w:rPr>
              <w:t>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D.1</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Coordinate system reference point</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Location of coordinated system reference point </w:t>
            </w:r>
            <w:r>
              <w:rPr>
                <w:lang w:eastAsia="zh-CN"/>
              </w:rPr>
              <w:t xml:space="preserve">in reference to an identifiable physical feature of the </w:t>
            </w:r>
            <w:r>
              <w:rPr>
                <w:rFonts w:hint="eastAsia"/>
                <w:lang w:eastAsia="zh-CN"/>
              </w:rPr>
              <w:t>NCR</w:t>
            </w:r>
            <w:r>
              <w:rPr>
                <w:lang w:eastAsia="zh-CN"/>
              </w:rPr>
              <w:t xml:space="preserve"> enclosure.</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rFonts w:hint="default"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D.2</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Coordinate system orientation</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Orientation of the coordinate system</w:t>
            </w:r>
            <w:r>
              <w:rPr>
                <w:lang w:eastAsia="zh-CN"/>
              </w:rPr>
              <w:t xml:space="preserve"> in reference to an identifiable physical feature of the </w:t>
            </w:r>
            <w:r>
              <w:rPr>
                <w:rFonts w:hint="eastAsia"/>
                <w:lang w:eastAsia="zh-CN"/>
              </w:rPr>
              <w:t>NCR</w:t>
            </w:r>
            <w:r>
              <w:rPr>
                <w:lang w:eastAsia="zh-CN"/>
              </w:rPr>
              <w:t xml:space="preserve"> enclosure.</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D.3</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Beam identifier</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36"/>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36"/>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36"/>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36"/>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36"/>
              <w:rPr>
                <w:lang w:eastAsia="ja-JP"/>
              </w:rPr>
            </w:pPr>
            <w:r>
              <w:rPr>
                <w:lang w:eastAsia="ja-JP"/>
              </w:rPr>
              <w:t>5)</w:t>
            </w:r>
            <w:r>
              <w:rPr>
                <w:lang w:eastAsia="ja-JP"/>
              </w:rPr>
              <w:tab/>
            </w:r>
            <w:r>
              <w:rPr>
                <w:lang w:eastAsia="ja-JP"/>
              </w:rPr>
              <w:t>A beam which provides the highest intended EIRP of all possible beams.</w:t>
            </w:r>
          </w:p>
          <w:p>
            <w:pPr>
              <w:pStyle w:val="36"/>
              <w:rPr>
                <w:lang w:eastAsia="ja-JP"/>
              </w:rPr>
            </w:pPr>
            <w:r>
              <w:rPr>
                <w:lang w:eastAsia="ja-JP"/>
              </w:rPr>
              <w:t xml:space="preserve">When selecting the above five beam widths for declaration, all beams that the </w:t>
            </w:r>
            <w:r>
              <w:rPr>
                <w:rFonts w:hint="eastAsia"/>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36"/>
              <w:rPr>
                <w:lang w:eastAsia="ja-JP"/>
              </w:rPr>
            </w:pPr>
            <w:r>
              <w:rPr>
                <w:lang w:eastAsia="ja-JP"/>
              </w:rPr>
              <w:t>(Note 1)</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D.4</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i/>
                <w:lang w:eastAsia="ja-JP"/>
              </w:rPr>
              <w:t>Operating bands</w:t>
            </w:r>
            <w:r>
              <w:rPr>
                <w:lang w:eastAsia="ja-JP"/>
              </w:rPr>
              <w:t xml:space="preserve"> and passband frequency ranges</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rFonts w:hint="eastAsia"/>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rFonts w:hint="eastAsia"/>
                <w:szCs w:val="18"/>
                <w:lang w:eastAsia="zh-CN"/>
              </w:rPr>
              <w:t>NCR</w:t>
            </w:r>
            <w:r>
              <w:rPr>
                <w:szCs w:val="18"/>
                <w:lang w:eastAsia="ja-JP"/>
              </w:rPr>
              <w:t xml:space="preserve"> can operate in. </w:t>
            </w:r>
          </w:p>
          <w:p>
            <w:pPr>
              <w:pStyle w:val="36"/>
              <w:rPr>
                <w:szCs w:val="18"/>
                <w:lang w:eastAsia="ja-JP"/>
              </w:rPr>
            </w:pPr>
            <w:r>
              <w:rPr>
                <w:rFonts w:eastAsia="黑体"/>
                <w:szCs w:val="18"/>
                <w:lang w:eastAsia="ja-JP"/>
              </w:rPr>
              <w:t xml:space="preserve">Supported bands declared for every beam (D.3). </w:t>
            </w:r>
            <w:r>
              <w:rPr>
                <w:szCs w:val="18"/>
                <w:lang w:eastAsia="ja-JP"/>
              </w:rPr>
              <w:t>(Note 2)</w:t>
            </w:r>
          </w:p>
        </w:tc>
        <w:tc>
          <w:tcPr>
            <w:tcW w:w="0" w:type="auto"/>
            <w:tcBorders>
              <w:top w:val="single" w:color="auto" w:sz="4" w:space="0"/>
              <w:left w:val="single" w:color="auto" w:sz="4" w:space="0"/>
              <w:bottom w:val="single" w:color="auto" w:sz="4" w:space="0"/>
              <w:right w:val="single" w:color="auto" w:sz="4" w:space="0"/>
            </w:tcBorders>
          </w:tcPr>
          <w:p>
            <w:pPr>
              <w:pStyle w:val="36"/>
              <w:rPr>
                <w:rFonts w:eastAsia="黑体"/>
                <w:szCs w:val="18"/>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rFonts w:eastAsia="黑体"/>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D.5</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rFonts w:hint="eastAsia"/>
                <w:lang w:eastAsia="zh-CN"/>
              </w:rPr>
              <w:t>NCR</w:t>
            </w:r>
            <w:r>
              <w:t xml:space="preserve"> class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t xml:space="preserve">Declared as Wide Area </w:t>
            </w:r>
            <w:r>
              <w:rPr>
                <w:rFonts w:hint="eastAsia"/>
                <w:lang w:eastAsia="zh-CN"/>
              </w:rPr>
              <w:t>NCR</w:t>
            </w:r>
            <w:r>
              <w:t xml:space="preserve">, Medium Range </w:t>
            </w:r>
            <w:r>
              <w:rPr>
                <w:rFonts w:hint="eastAsia"/>
                <w:lang w:eastAsia="zh-CN"/>
              </w:rPr>
              <w:t>NCR</w:t>
            </w:r>
            <w:r>
              <w:t xml:space="preserve">, or Local Area </w:t>
            </w:r>
            <w:r>
              <w:rPr>
                <w:rFonts w:hint="eastAsia"/>
                <w:lang w:eastAsia="zh-CN"/>
              </w:rPr>
              <w:t>NCR</w:t>
            </w:r>
            <w:r>
              <w:t>.</w:t>
            </w:r>
          </w:p>
        </w:tc>
        <w:tc>
          <w:tcPr>
            <w:tcW w:w="0" w:type="auto"/>
            <w:tcBorders>
              <w:top w:val="single" w:color="auto" w:sz="4" w:space="0"/>
              <w:left w:val="single" w:color="auto" w:sz="4" w:space="0"/>
              <w:bottom w:val="single" w:color="auto" w:sz="4" w:space="0"/>
              <w:right w:val="single" w:color="auto" w:sz="4" w:space="0"/>
            </w:tcBorders>
          </w:tcPr>
          <w:p>
            <w:pPr>
              <w:pStyle w:val="36"/>
            </w:pPr>
          </w:p>
        </w:tc>
        <w:tc>
          <w:tcPr>
            <w:tcW w:w="0" w:type="auto"/>
            <w:tcBorders>
              <w:top w:val="single" w:color="auto" w:sz="4" w:space="0"/>
              <w:left w:val="single" w:color="auto" w:sz="4" w:space="0"/>
              <w:bottom w:val="single" w:color="auto" w:sz="4" w:space="0"/>
              <w:right w:val="single" w:color="auto" w:sz="4" w:space="0"/>
            </w:tcBorders>
          </w:tcPr>
          <w:p>
            <w:pPr>
              <w:pStyle w:val="3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D.6</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i/>
                <w:lang w:eastAsia="ja-JP"/>
              </w:rPr>
              <w:t xml:space="preserve">OTA peak directions set </w:t>
            </w:r>
            <w:r>
              <w:rPr>
                <w:lang w:eastAsia="ja-JP"/>
              </w:rPr>
              <w:t>reference beam direction pair</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The beam direction pair, describing the reference beam peak direction and the reference beam centre direction.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D.7</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zh-CN"/>
              </w:rPr>
              <w:t>OTA peak directions set</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D.8</w:t>
            </w: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r>
              <w:rPr>
                <w:i/>
                <w:lang w:eastAsia="ja-JP"/>
              </w:rPr>
              <w:t>OTA peak directions set</w:t>
            </w:r>
            <w:r>
              <w:rPr>
                <w:lang w:eastAsia="ja-JP"/>
              </w:rPr>
              <w:t xml:space="preserve"> maximum steering direction(s)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36"/>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36"/>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36"/>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36"/>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36"/>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36"/>
              <w:rPr>
                <w:szCs w:val="18"/>
                <w:lang w:eastAsia="ja-JP"/>
              </w:rPr>
            </w:pPr>
            <w:r>
              <w:rPr>
                <w:szCs w:val="18"/>
                <w:lang w:eastAsia="ja-JP"/>
              </w:rPr>
              <w:t>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D.9</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Rated beam EIRP</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36"/>
              <w:rPr>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D.10</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Beamwidth</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D.11</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Equivalent b</w:t>
            </w:r>
            <w:r>
              <w:rPr>
                <w:lang w:eastAsia="zh-CN"/>
              </w:rPr>
              <w:t>eams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List of beams which are declared to be equivalent.</w:t>
            </w:r>
          </w:p>
          <w:p>
            <w:pPr>
              <w:pStyle w:val="36"/>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D.12</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Parallel beams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List of beams which have been declared equivalent (D.11) and can be generated in parallel using independent RF power resources.</w:t>
            </w:r>
          </w:p>
          <w:p>
            <w:pPr>
              <w:pStyle w:val="36"/>
              <w:rPr>
                <w:lang w:eastAsia="ja-JP"/>
              </w:rPr>
            </w:pPr>
            <w:r>
              <w:rPr>
                <w:lang w:eastAsia="zh-CN"/>
              </w:rPr>
              <w:t>Independent power resources mean that the beams are transmitted from mutually exclusive transmitter units.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D.13</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OTA coverage range</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Declared as a single range of directions within which selected TX OTA requirements are intended to be met.</w:t>
            </w:r>
          </w:p>
          <w:p>
            <w:pPr>
              <w:pStyle w:val="36"/>
              <w:rPr>
                <w:lang w:eastAsia="ja-JP"/>
              </w:rPr>
            </w:pPr>
            <w:r>
              <w:rPr>
                <w:lang w:eastAsia="ja-JP"/>
              </w:rPr>
              <w:t>(Note 3)</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D.14</w:t>
            </w:r>
          </w:p>
        </w:tc>
        <w:tc>
          <w:tcPr>
            <w:tcW w:w="0" w:type="auto"/>
            <w:tcBorders>
              <w:top w:val="single" w:color="auto" w:sz="4" w:space="0"/>
              <w:left w:val="single" w:color="auto" w:sz="4" w:space="0"/>
              <w:bottom w:val="single" w:color="auto" w:sz="4" w:space="0"/>
              <w:right w:val="single" w:color="auto" w:sz="4" w:space="0"/>
            </w:tcBorders>
          </w:tcPr>
          <w:p>
            <w:pPr>
              <w:pStyle w:val="36"/>
              <w:rPr>
                <w:i/>
                <w:lang w:eastAsia="ja-JP"/>
              </w:rPr>
            </w:pPr>
            <w:r>
              <w:rPr>
                <w:i/>
                <w:lang w:eastAsia="ja-JP"/>
              </w:rPr>
              <w:t>OTA coverage range</w:t>
            </w:r>
            <w:r>
              <w:rPr>
                <w:lang w:eastAsia="ja-JP"/>
              </w:rPr>
              <w:t xml:space="preserve"> reference direction</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36"/>
              <w:rPr>
                <w:lang w:eastAsia="ja-JP"/>
              </w:rPr>
            </w:pPr>
            <w:r>
              <w:rPr>
                <w:lang w:eastAsia="ja-JP"/>
              </w:rPr>
              <w:t>(Note 4)</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D.15</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OTA coverage range maximum directions</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szCs w:val="18"/>
                <w:lang w:eastAsia="ja-JP"/>
              </w:rPr>
              <w:t>The directions corresponding to the following points:</w:t>
            </w:r>
          </w:p>
          <w:p>
            <w:pPr>
              <w:pStyle w:val="36"/>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36"/>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36"/>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36"/>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D.16</w:t>
            </w:r>
          </w:p>
        </w:tc>
        <w:tc>
          <w:tcPr>
            <w:tcW w:w="0" w:type="auto"/>
            <w:tcBorders>
              <w:top w:val="single" w:color="auto" w:sz="4" w:space="0"/>
              <w:left w:val="single" w:color="auto" w:sz="4" w:space="0"/>
              <w:bottom w:val="single" w:color="auto" w:sz="4" w:space="0"/>
              <w:right w:val="single" w:color="auto" w:sz="4" w:space="0"/>
            </w:tcBorders>
          </w:tcPr>
          <w:p>
            <w:pPr>
              <w:pStyle w:val="36"/>
              <w:rPr>
                <w:i/>
                <w:lang w:eastAsia="ja-JP"/>
              </w:rPr>
            </w:pPr>
            <w:r>
              <w:rPr>
                <w:lang w:eastAsia="ja-JP"/>
              </w:rPr>
              <w:t xml:space="preserve">The rated passband OTA </w:t>
            </w:r>
            <w:r>
              <w:rPr>
                <w:rFonts w:hint="eastAsia"/>
                <w:lang w:eastAsia="zh-CN"/>
              </w:rPr>
              <w:t>NCR</w:t>
            </w:r>
            <w:r>
              <w:rPr>
                <w:lang w:eastAsia="ja-JP"/>
              </w:rPr>
              <w:t xml:space="preserve"> power, P</w:t>
            </w:r>
            <w:r>
              <w:rPr>
                <w:vertAlign w:val="subscript"/>
                <w:lang w:eastAsia="ja-JP"/>
              </w:rPr>
              <w:t>rated,p,TRP</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36"/>
              <w:rPr>
                <w:lang w:eastAsia="ja-JP"/>
              </w:rPr>
            </w:pPr>
            <w:r>
              <w:rPr>
                <w:lang w:eastAsia="ja-JP"/>
              </w:rPr>
              <w:t>(Note 5, 7)</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D.17</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Rated total radiated output power</w:t>
            </w:r>
            <w:r>
              <w:rPr>
                <w:i/>
                <w:lang w:eastAsia="ja-JP"/>
              </w:rPr>
              <w:t>.</w:t>
            </w:r>
          </w:p>
          <w:p>
            <w:pPr>
              <w:pStyle w:val="36"/>
              <w:rPr>
                <w:lang w:eastAsia="ja-JP"/>
              </w:rPr>
            </w:pPr>
            <w:r>
              <w:rPr>
                <w:lang w:eastAsia="ja-JP"/>
              </w:rPr>
              <w:t xml:space="preserve">Declared per supported </w:t>
            </w:r>
            <w:r>
              <w:rPr>
                <w:i/>
                <w:lang w:eastAsia="ja-JP"/>
              </w:rPr>
              <w:t>operating band</w:t>
            </w:r>
            <w:r>
              <w:rPr>
                <w:lang w:eastAsia="ja-JP"/>
              </w:rPr>
              <w:t>.</w:t>
            </w:r>
          </w:p>
          <w:p>
            <w:pPr>
              <w:pStyle w:val="36"/>
              <w:rPr>
                <w:lang w:eastAsia="ja-JP"/>
              </w:rPr>
            </w:pPr>
            <w:r>
              <w:rPr>
                <w:lang w:eastAsia="ja-JP"/>
              </w:rPr>
              <w:t>(Note 5, 7)</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D.18</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Spurious emission category</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Declare the </w:t>
            </w:r>
            <w:r>
              <w:rPr>
                <w:rFonts w:hint="eastAsia"/>
                <w:lang w:eastAsia="zh-CN"/>
              </w:rPr>
              <w:t>NCR</w:t>
            </w:r>
            <w:r>
              <w:rPr>
                <w:lang w:eastAsia="ja-JP"/>
              </w:rPr>
              <w:t xml:space="preserve"> spurious emission category as either category A or B with respect to the limits for spurious emissions, as defined in Recommendation ITU-R SM.329 [</w:t>
            </w:r>
            <w:r>
              <w:rPr>
                <w:rFonts w:hint="eastAsia"/>
                <w:lang w:val="en-US" w:eastAsia="zh-CN"/>
              </w:rPr>
              <w:t>4</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D.19</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Additional operating band unwanted emissions</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D.20</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Co-existence with other systems</w:t>
            </w:r>
          </w:p>
        </w:tc>
        <w:tc>
          <w:tcPr>
            <w:tcW w:w="0" w:type="auto"/>
            <w:tcBorders>
              <w:top w:val="single" w:color="auto" w:sz="4" w:space="0"/>
              <w:left w:val="single" w:color="auto" w:sz="4" w:space="0"/>
              <w:bottom w:val="single" w:color="auto" w:sz="4" w:space="0"/>
              <w:right w:val="single" w:color="auto" w:sz="4" w:space="0"/>
            </w:tcBorders>
          </w:tcPr>
          <w:p>
            <w:pPr>
              <w:pStyle w:val="36"/>
              <w:rPr>
                <w:i/>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D.21</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zh-CN"/>
              </w:rPr>
              <w:t xml:space="preserve">Supported frequency range of the NR </w:t>
            </w:r>
            <w:r>
              <w:rPr>
                <w:i/>
                <w:lang w:eastAsia="zh-CN"/>
              </w:rPr>
              <w:t>operating band</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D.22</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36"/>
              <w:rPr>
                <w:lang w:eastAsia="ja-JP"/>
              </w:rPr>
            </w:pPr>
            <w:r>
              <w:rPr>
                <w:lang w:eastAsia="ja-JP"/>
              </w:rPr>
              <w:t>Declared per beam for all supported frequency ranges (D.21).</w:t>
            </w:r>
          </w:p>
          <w:p>
            <w:pPr>
              <w:pStyle w:val="36"/>
              <w:rPr>
                <w:szCs w:val="18"/>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lang w:eastAsia="ja-JP"/>
              </w:rPr>
              <w:t>D.23</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36"/>
              <w:rPr>
                <w:lang w:eastAsia="ja-JP"/>
              </w:rPr>
            </w:pPr>
            <w:r>
              <w:rPr>
                <w:lang w:eastAsia="ja-JP"/>
              </w:rPr>
              <w:t>Declared per beam for all supported frequency ranges in (D.21).</w:t>
            </w:r>
          </w:p>
          <w:p>
            <w:pPr>
              <w:pStyle w:val="36"/>
              <w:rPr>
                <w:szCs w:val="18"/>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szCs w:val="18"/>
              </w:rPr>
              <w:t>D.24</w:t>
            </w:r>
          </w:p>
        </w:tc>
        <w:tc>
          <w:tcPr>
            <w:tcW w:w="0" w:type="auto"/>
            <w:tcBorders>
              <w:top w:val="single" w:color="auto" w:sz="4" w:space="0"/>
              <w:left w:val="single" w:color="auto" w:sz="4" w:space="0"/>
              <w:bottom w:val="single" w:color="auto" w:sz="4" w:space="0"/>
              <w:right w:val="single" w:color="auto" w:sz="4" w:space="0"/>
            </w:tcBorders>
          </w:tcPr>
          <w:p>
            <w:pPr>
              <w:pStyle w:val="36"/>
              <w:rPr>
                <w:rFonts w:hint="eastAsia" w:eastAsia="宋体"/>
                <w:szCs w:val="18"/>
                <w:lang w:eastAsia="zh-CN"/>
              </w:rPr>
            </w:pPr>
            <w:r>
              <w:rPr>
                <w:szCs w:val="18"/>
              </w:rPr>
              <w:t xml:space="preserve">Long delay </w:t>
            </w:r>
            <w:r>
              <w:rPr>
                <w:rFonts w:hint="eastAsia"/>
                <w:szCs w:val="18"/>
                <w:lang w:eastAsia="zh-CN"/>
              </w:rPr>
              <w:t>NCR</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szCs w:val="18"/>
              </w:rPr>
              <w:t xml:space="preserve">Declared only if the </w:t>
            </w:r>
            <w:r>
              <w:rPr>
                <w:rFonts w:hint="eastAsia"/>
                <w:szCs w:val="18"/>
                <w:lang w:eastAsia="zh-CN"/>
              </w:rPr>
              <w:t>NCR</w:t>
            </w:r>
            <w:r>
              <w:rPr>
                <w:szCs w:val="18"/>
              </w:rPr>
              <w:t xml:space="preserve"> internal delay between the input and output for this </w:t>
            </w:r>
            <w:r>
              <w:rPr>
                <w:rFonts w:hint="eastAsia"/>
                <w:szCs w:val="18"/>
                <w:lang w:eastAsia="zh-CN"/>
              </w:rPr>
              <w:t>NCR</w:t>
            </w:r>
            <w:r>
              <w:rPr>
                <w:szCs w:val="18"/>
              </w:rPr>
              <w:t xml:space="preserve"> does not fit within the TDD transient time. The </w:t>
            </w:r>
            <w:r>
              <w:rPr>
                <w:rFonts w:hint="eastAsia"/>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rFonts w:hint="eastAsia"/>
                <w:szCs w:val="18"/>
                <w:lang w:eastAsia="zh-CN"/>
              </w:rPr>
              <w:t>NCR</w:t>
            </w:r>
            <w:r>
              <w:rPr>
                <w:szCs w:val="18"/>
              </w:rPr>
              <w:t>s internal delay is declared using this declaration.</w:t>
            </w:r>
          </w:p>
        </w:tc>
        <w:tc>
          <w:tcPr>
            <w:tcW w:w="0" w:type="auto"/>
            <w:tcBorders>
              <w:top w:val="single" w:color="auto" w:sz="4" w:space="0"/>
              <w:left w:val="single" w:color="auto" w:sz="4" w:space="0"/>
              <w:bottom w:val="single" w:color="auto" w:sz="4" w:space="0"/>
              <w:right w:val="single" w:color="auto" w:sz="4" w:space="0"/>
            </w:tcBorders>
          </w:tcPr>
          <w:p>
            <w:pPr>
              <w:pStyle w:val="36"/>
              <w:rPr>
                <w:szCs w:val="18"/>
              </w:rPr>
            </w:pPr>
          </w:p>
        </w:tc>
        <w:tc>
          <w:tcPr>
            <w:tcW w:w="0" w:type="auto"/>
            <w:tcBorders>
              <w:top w:val="single" w:color="auto" w:sz="4" w:space="0"/>
              <w:left w:val="single" w:color="auto" w:sz="4" w:space="0"/>
              <w:bottom w:val="single" w:color="auto" w:sz="4" w:space="0"/>
              <w:right w:val="single" w:color="auto" w:sz="4" w:space="0"/>
            </w:tcBorders>
          </w:tcPr>
          <w:p>
            <w:pPr>
              <w:pStyle w:val="36"/>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rPr>
            </w:pPr>
            <w:r>
              <w:rPr>
                <w:szCs w:val="18"/>
              </w:rPr>
              <w:t>D.25</w:t>
            </w:r>
          </w:p>
        </w:tc>
        <w:tc>
          <w:tcPr>
            <w:tcW w:w="0" w:type="auto"/>
            <w:tcBorders>
              <w:top w:val="single" w:color="auto" w:sz="4" w:space="0"/>
              <w:left w:val="single" w:color="auto" w:sz="4" w:space="0"/>
              <w:bottom w:val="single" w:color="auto" w:sz="4" w:space="0"/>
              <w:right w:val="single" w:color="auto" w:sz="4" w:space="0"/>
            </w:tcBorders>
          </w:tcPr>
          <w:p>
            <w:pPr>
              <w:pStyle w:val="36"/>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szCs w:val="18"/>
                <w:lang w:eastAsia="ja-JP"/>
              </w:rPr>
              <w:t>Declaration of input signal EIRP required to reach maximum output power. Declared per passband.</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rPr>
            </w:pPr>
            <w:r>
              <w:rPr>
                <w:szCs w:val="18"/>
              </w:rPr>
              <w:t>D.26</w:t>
            </w:r>
          </w:p>
        </w:tc>
        <w:tc>
          <w:tcPr>
            <w:tcW w:w="0" w:type="auto"/>
            <w:tcBorders>
              <w:top w:val="single" w:color="auto" w:sz="4" w:space="0"/>
              <w:left w:val="single" w:color="auto" w:sz="4" w:space="0"/>
              <w:bottom w:val="single" w:color="auto" w:sz="4" w:space="0"/>
              <w:right w:val="single" w:color="auto" w:sz="4" w:space="0"/>
            </w:tcBorders>
          </w:tcPr>
          <w:p>
            <w:pPr>
              <w:pStyle w:val="36"/>
              <w:rPr>
                <w:szCs w:val="18"/>
              </w:rPr>
            </w:pPr>
            <w:r>
              <w:rPr>
                <w:rFonts w:hint="eastAsia"/>
                <w:szCs w:val="18"/>
                <w:lang w:eastAsia="zh-CN"/>
              </w:rPr>
              <w:t>NCR</w:t>
            </w:r>
            <w:r>
              <w:rPr>
                <w:szCs w:val="18"/>
              </w:rPr>
              <w:t xml:space="preserve"> radiating direction</w:t>
            </w:r>
          </w:p>
        </w:tc>
        <w:tc>
          <w:tcPr>
            <w:tcW w:w="0" w:type="auto"/>
            <w:tcBorders>
              <w:top w:val="single" w:color="auto" w:sz="4" w:space="0"/>
              <w:left w:val="single" w:color="auto" w:sz="4" w:space="0"/>
              <w:bottom w:val="single" w:color="auto" w:sz="4" w:space="0"/>
              <w:right w:val="single" w:color="auto" w:sz="4" w:space="0"/>
            </w:tcBorders>
          </w:tcPr>
          <w:p>
            <w:pPr>
              <w:pStyle w:val="36"/>
              <w:rPr>
                <w:szCs w:val="18"/>
                <w:lang w:eastAsia="ja-JP"/>
              </w:rPr>
            </w:pPr>
            <w:r>
              <w:rPr>
                <w:szCs w:val="18"/>
              </w:rPr>
              <w:t xml:space="preserve">Declaration on whether the </w:t>
            </w:r>
            <w:r>
              <w:rPr>
                <w:rFonts w:hint="eastAsia"/>
                <w:szCs w:val="18"/>
                <w:lang w:eastAsia="zh-CN"/>
              </w:rPr>
              <w:t>NCR</w:t>
            </w:r>
            <w:r>
              <w:rPr>
                <w:szCs w:val="18"/>
              </w:rPr>
              <w:t xml:space="preserve"> is intended to radiate in DL, UL or both. Testing shall be performed only for the direction(s) in which the </w:t>
            </w:r>
            <w:r>
              <w:rPr>
                <w:rFonts w:hint="eastAsia"/>
                <w:szCs w:val="18"/>
                <w:lang w:eastAsia="zh-CN"/>
              </w:rPr>
              <w:t>NCR</w:t>
            </w:r>
            <w:r>
              <w:rPr>
                <w:szCs w:val="18"/>
              </w:rPr>
              <w:t xml:space="preserve"> radiates.</w:t>
            </w:r>
          </w:p>
        </w:tc>
        <w:tc>
          <w:tcPr>
            <w:tcW w:w="0" w:type="auto"/>
            <w:tcBorders>
              <w:top w:val="single" w:color="auto" w:sz="4" w:space="0"/>
              <w:left w:val="single" w:color="auto" w:sz="4" w:space="0"/>
              <w:bottom w:val="single" w:color="auto" w:sz="4" w:space="0"/>
              <w:right w:val="single" w:color="auto" w:sz="4" w:space="0"/>
            </w:tcBorders>
          </w:tcPr>
          <w:p>
            <w:pPr>
              <w:pStyle w:val="36"/>
              <w:rPr>
                <w:szCs w:val="18"/>
              </w:rPr>
            </w:pPr>
          </w:p>
        </w:tc>
        <w:tc>
          <w:tcPr>
            <w:tcW w:w="0" w:type="auto"/>
            <w:tcBorders>
              <w:top w:val="single" w:color="auto" w:sz="4" w:space="0"/>
              <w:left w:val="single" w:color="auto" w:sz="4" w:space="0"/>
              <w:bottom w:val="single" w:color="auto" w:sz="4" w:space="0"/>
              <w:right w:val="single" w:color="auto" w:sz="4" w:space="0"/>
            </w:tcBorders>
          </w:tcPr>
          <w:p>
            <w:pPr>
              <w:pStyle w:val="36"/>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szCs w:val="18"/>
              </w:rPr>
            </w:pPr>
            <w:r>
              <w:rPr>
                <w:rFonts w:hint="eastAsia" w:eastAsia="等线"/>
                <w:lang w:eastAsia="zh-CN"/>
              </w:rPr>
              <w:t>D.27</w:t>
            </w:r>
          </w:p>
        </w:tc>
        <w:tc>
          <w:tcPr>
            <w:tcW w:w="0" w:type="auto"/>
            <w:tcBorders>
              <w:top w:val="single" w:color="auto" w:sz="4" w:space="0"/>
              <w:left w:val="single" w:color="auto" w:sz="4" w:space="0"/>
              <w:bottom w:val="single" w:color="auto" w:sz="4" w:space="0"/>
              <w:right w:val="single" w:color="auto" w:sz="4" w:space="0"/>
            </w:tcBorders>
          </w:tcPr>
          <w:p>
            <w:pPr>
              <w:pStyle w:val="36"/>
              <w:rPr>
                <w:szCs w:val="18"/>
              </w:rPr>
            </w:pPr>
            <w:r>
              <w:rPr>
                <w:rFonts w:hint="eastAsia" w:eastAsia="等线"/>
                <w:lang w:eastAsia="zh-CN"/>
              </w:rPr>
              <w:t>M</w:t>
            </w:r>
            <w:r>
              <w:t xml:space="preserve">aximum </w:t>
            </w:r>
            <w:r>
              <w:rPr>
                <w:rFonts w:hint="eastAsia"/>
                <w:lang w:eastAsia="zh-CN"/>
              </w:rPr>
              <w:t>NCR</w:t>
            </w:r>
            <w:r>
              <w:t xml:space="preserve"> RF Bandwidth</w:t>
            </w:r>
          </w:p>
        </w:tc>
        <w:tc>
          <w:tcPr>
            <w:tcW w:w="0" w:type="auto"/>
            <w:tcBorders>
              <w:top w:val="single" w:color="auto" w:sz="4" w:space="0"/>
              <w:left w:val="single" w:color="auto" w:sz="4" w:space="0"/>
              <w:bottom w:val="single" w:color="auto" w:sz="4" w:space="0"/>
              <w:right w:val="single" w:color="auto" w:sz="4" w:space="0"/>
            </w:tcBorders>
          </w:tcPr>
          <w:p>
            <w:pPr>
              <w:pStyle w:val="36"/>
              <w:rPr>
                <w:szCs w:val="18"/>
              </w:rPr>
            </w:pPr>
            <w:r>
              <w:rPr>
                <w:rFonts w:cs="Arial"/>
                <w:szCs w:val="18"/>
              </w:rPr>
              <w:t xml:space="preserve">Maximum </w:t>
            </w:r>
            <w:r>
              <w:rPr>
                <w:rFonts w:hint="eastAsia" w:eastAsia="等线" w:cs="Arial"/>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c>
          <w:tcPr>
            <w:tcW w:w="0" w:type="auto"/>
            <w:tcBorders>
              <w:top w:val="single" w:color="auto" w:sz="4" w:space="0"/>
              <w:left w:val="single" w:color="auto" w:sz="4" w:space="0"/>
              <w:bottom w:val="single" w:color="auto" w:sz="4" w:space="0"/>
              <w:right w:val="single" w:color="auto" w:sz="4" w:space="0"/>
            </w:tcBorders>
          </w:tcPr>
          <w:p>
            <w:pPr>
              <w:pStyle w:val="3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3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6"/>
              <w:rPr>
                <w:rFonts w:hint="eastAsia" w:eastAsia="等线"/>
                <w:lang w:eastAsia="zh-CN"/>
              </w:rPr>
            </w:pPr>
            <w:r>
              <w:rPr>
                <w:rFonts w:hint="eastAsia" w:eastAsia="等线"/>
                <w:lang w:eastAsia="zh-CN"/>
              </w:rPr>
              <w:t>D.2</w:t>
            </w:r>
            <w:r>
              <w:rPr>
                <w:rFonts w:hint="eastAsia" w:eastAsia="等线"/>
                <w:lang w:val="en-US" w:eastAsia="zh-CN"/>
              </w:rPr>
              <w:t>8</w:t>
            </w:r>
          </w:p>
        </w:tc>
        <w:tc>
          <w:tcPr>
            <w:tcW w:w="0" w:type="auto"/>
            <w:tcBorders>
              <w:top w:val="single" w:color="auto" w:sz="4" w:space="0"/>
              <w:left w:val="single" w:color="auto" w:sz="4" w:space="0"/>
              <w:bottom w:val="single" w:color="auto" w:sz="4" w:space="0"/>
              <w:right w:val="single" w:color="auto" w:sz="4" w:space="0"/>
            </w:tcBorders>
          </w:tcPr>
          <w:p>
            <w:pPr>
              <w:pStyle w:val="36"/>
              <w:rPr>
                <w:rFonts w:hint="eastAsia" w:eastAsia="等线"/>
                <w:lang w:eastAsia="zh-CN"/>
              </w:rPr>
            </w:pPr>
            <w:r>
              <w:rPr>
                <w:rFonts w:hint="eastAsia" w:ascii="Arial" w:hAnsi="Arial" w:cs="v4.2.0"/>
                <w:lang w:val="en-US" w:eastAsia="zh-CN"/>
              </w:rPr>
              <w:t>S</w:t>
            </w:r>
            <w:r>
              <w:rPr>
                <w:rFonts w:ascii="Arial" w:hAnsi="Arial" w:cs="v4.2.0"/>
              </w:rPr>
              <w:t xml:space="preserve">upport of simultaneous Tx of NCR-Fwd and NCR-MT </w:t>
            </w:r>
          </w:p>
        </w:tc>
        <w:tc>
          <w:tcPr>
            <w:tcW w:w="0" w:type="auto"/>
            <w:tcBorders>
              <w:top w:val="single" w:color="auto" w:sz="4" w:space="0"/>
              <w:left w:val="single" w:color="auto" w:sz="4" w:space="0"/>
              <w:bottom w:val="single" w:color="auto" w:sz="4" w:space="0"/>
              <w:right w:val="single" w:color="auto" w:sz="4" w:space="0"/>
            </w:tcBorders>
          </w:tcPr>
          <w:p>
            <w:pPr>
              <w:pStyle w:val="36"/>
              <w:rPr>
                <w:rFonts w:cs="Arial"/>
                <w:szCs w:val="18"/>
              </w:rPr>
            </w:pPr>
            <w:r>
              <w:rPr>
                <w:rFonts w:hint="eastAsia" w:ascii="Arial" w:hAnsi="Arial" w:cs="v4.2.0"/>
                <w:lang w:val="en-US" w:eastAsia="zh-CN"/>
              </w:rPr>
              <w:t>Declaration on whether the NCR s</w:t>
            </w:r>
            <w:r>
              <w:rPr>
                <w:rFonts w:ascii="Arial" w:hAnsi="Arial" w:cs="v4.2.0"/>
              </w:rPr>
              <w:t xml:space="preserve">upport </w:t>
            </w:r>
            <w:r>
              <w:rPr>
                <w:rFonts w:hint="eastAsia" w:ascii="Arial" w:hAnsi="Arial" w:cs="v4.2.0"/>
                <w:lang w:val="en-US" w:eastAsia="zh-CN"/>
              </w:rPr>
              <w:t xml:space="preserve">the </w:t>
            </w:r>
            <w:r>
              <w:rPr>
                <w:rFonts w:ascii="Arial" w:hAnsi="Arial" w:cs="v4.2.0"/>
              </w:rPr>
              <w:t>simultaneous Tx of NCR-Fwd and NCR-MT</w:t>
            </w:r>
          </w:p>
        </w:tc>
        <w:tc>
          <w:tcPr>
            <w:tcW w:w="0" w:type="auto"/>
            <w:tcBorders>
              <w:top w:val="single" w:color="auto" w:sz="4" w:space="0"/>
              <w:left w:val="single" w:color="auto" w:sz="4" w:space="0"/>
              <w:bottom w:val="single" w:color="auto" w:sz="4" w:space="0"/>
              <w:right w:val="single" w:color="auto" w:sz="4" w:space="0"/>
            </w:tcBorders>
          </w:tcPr>
          <w:p>
            <w:pPr>
              <w:pStyle w:val="3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3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47"/>
            </w:pPr>
            <w:r>
              <w:t>NOTE 1:</w:t>
            </w:r>
            <w:r>
              <w:tab/>
            </w:r>
            <w:r>
              <w:t>Depending on the capability of the system some of these beams may be the same. For those same beams, testing is not repeated.</w:t>
            </w:r>
          </w:p>
          <w:p>
            <w:pPr>
              <w:pStyle w:val="47"/>
            </w:pPr>
            <w:r>
              <w:t>NOTE 2:</w:t>
            </w:r>
            <w:r>
              <w:rPr>
                <w:rFonts w:cs="Arial"/>
                <w:szCs w:val="18"/>
              </w:rPr>
              <w:tab/>
            </w:r>
            <w:r>
              <w:t xml:space="preserve">These </w:t>
            </w:r>
            <w:r>
              <w:rPr>
                <w:i/>
              </w:rPr>
              <w:t>operating bands</w:t>
            </w:r>
            <w:r>
              <w:t xml:space="preserve"> are related to their respective single</w:t>
            </w:r>
            <w:r>
              <w:noBreakHyphen/>
            </w:r>
            <w:r>
              <w:t>band RIBs.</w:t>
            </w:r>
          </w:p>
          <w:p>
            <w:pPr>
              <w:pStyle w:val="47"/>
            </w:pPr>
            <w:r>
              <w:t>NOTE 3:</w:t>
            </w:r>
            <w:r>
              <w:rPr>
                <w:lang w:eastAsia="zh-CN"/>
              </w:rPr>
              <w:tab/>
            </w:r>
            <w:r>
              <w:rPr>
                <w:i/>
              </w:rPr>
              <w:t>OTA coverage range</w:t>
            </w:r>
            <w:r>
              <w:t xml:space="preserve"> is used for conformance testing of such TX OTA requirements as frequency error or EVM.</w:t>
            </w:r>
          </w:p>
          <w:p>
            <w:pPr>
              <w:pStyle w:val="47"/>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47"/>
              <w:rPr>
                <w:lang w:eastAsia="zh-CN"/>
              </w:rPr>
            </w:pPr>
            <w:r>
              <w:rPr>
                <w:lang w:eastAsia="zh-CN"/>
              </w:rPr>
              <w:t>NOTE 5:</w:t>
            </w:r>
            <w:r>
              <w:tab/>
            </w:r>
            <w:r>
              <w:rPr>
                <w:lang w:eastAsia="zh-CN"/>
              </w:rPr>
              <w:t xml:space="preserve">If a </w:t>
            </w:r>
            <w:r>
              <w:rPr>
                <w:rFonts w:hint="eastAsia"/>
                <w:i/>
                <w:lang w:eastAsia="zh-CN"/>
              </w:rPr>
              <w:t>NCR</w:t>
            </w:r>
            <w:r>
              <w:rPr>
                <w:i/>
                <w:lang w:eastAsia="zh-CN"/>
              </w:rPr>
              <w:t xml:space="preserve">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47"/>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47"/>
              <w:rPr>
                <w:lang w:eastAsia="zh-CN"/>
              </w:rPr>
            </w:pPr>
            <w:r>
              <w:rPr>
                <w:lang w:eastAsia="zh-CN"/>
              </w:rPr>
              <w:t>NOTE 7:</w:t>
            </w:r>
            <w:r>
              <w:tab/>
            </w:r>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47"/>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spacing w:line="240" w:lineRule="auto"/>
        <w:rPr>
          <w:sz w:val="20"/>
        </w:rPr>
      </w:pPr>
    </w:p>
    <w:bookmarkEnd w:id="1"/>
    <w:bookmarkEnd w:id="2"/>
    <w:bookmarkEnd w:id="3"/>
    <w:bookmarkEnd w:id="4"/>
    <w:p>
      <w:pPr>
        <w:pStyle w:val="54"/>
        <w:tabs>
          <w:tab w:val="left" w:pos="567"/>
          <w:tab w:val="clear" w:pos="1985"/>
        </w:tabs>
        <w:adjustRightInd w:val="0"/>
        <w:ind w:left="510" w:hanging="510"/>
      </w:pPr>
      <w:r>
        <w:t>Conclusions</w:t>
      </w:r>
    </w:p>
    <w:p>
      <w:pPr>
        <w:widowControl/>
        <w:jc w:val="left"/>
      </w:pPr>
      <w:r>
        <w:rPr>
          <w:rFonts w:hint="eastAsia" w:eastAsiaTheme="minorEastAsia"/>
        </w:rPr>
        <w:t xml:space="preserve">In this contribution, </w:t>
      </w:r>
      <w:r>
        <w:rPr>
          <w:rFonts w:hint="eastAsia"/>
        </w:rPr>
        <w:t>we want to share some further views on the conformance testing requirement for NCR proposals are made as following:</w:t>
      </w:r>
    </w:p>
    <w:p>
      <w:pPr>
        <w:spacing w:line="240" w:lineRule="auto"/>
        <w:rPr>
          <w:rFonts w:hint="eastAsia"/>
          <w:bCs/>
          <w:szCs w:val="20"/>
          <w:lang w:val="en-US" w:eastAsia="zh-CN"/>
        </w:rPr>
      </w:pPr>
      <w:r>
        <w:rPr>
          <w:rFonts w:hint="eastAsia"/>
          <w:b/>
          <w:bCs w:val="0"/>
          <w:szCs w:val="20"/>
          <w:lang w:val="en-US" w:eastAsia="zh-CN"/>
        </w:rPr>
        <w:t>Proposal 1:</w:t>
      </w:r>
      <w:r>
        <w:rPr>
          <w:rFonts w:hint="eastAsia"/>
          <w:bCs/>
          <w:szCs w:val="20"/>
          <w:lang w:val="en-US" w:eastAsia="zh-CN"/>
        </w:rPr>
        <w:t xml:space="preserve"> not to consider the LA NCR-MT SEM requirement to be tested </w:t>
      </w:r>
      <w:r>
        <w:rPr>
          <w:bCs/>
          <w:szCs w:val="20"/>
        </w:rPr>
        <w:t>under edge_1PRB_left and edge_1P</w:t>
      </w:r>
      <w:r>
        <w:rPr>
          <w:rFonts w:hint="eastAsia"/>
          <w:bCs/>
          <w:szCs w:val="20"/>
        </w:rPr>
        <w:t>RB_right RB allocations with max Tx power</w:t>
      </w:r>
      <w:r>
        <w:rPr>
          <w:rFonts w:hint="eastAsia"/>
          <w:bCs/>
          <w:szCs w:val="20"/>
          <w:lang w:val="en-US" w:eastAsia="zh-CN"/>
        </w:rPr>
        <w:t xml:space="preserve">. </w:t>
      </w:r>
    </w:p>
    <w:p>
      <w:pPr>
        <w:spacing w:line="240" w:lineRule="auto"/>
        <w:rPr>
          <w:rFonts w:hint="eastAsia" w:eastAsiaTheme="minorEastAsia"/>
          <w:sz w:val="20"/>
        </w:rPr>
      </w:pPr>
      <w:r>
        <w:rPr>
          <w:rFonts w:hint="eastAsia" w:eastAsiaTheme="minorEastAsia"/>
          <w:b/>
          <w:bCs/>
          <w:sz w:val="20"/>
        </w:rPr>
        <w:t xml:space="preserve">Proposal </w:t>
      </w:r>
      <w:r>
        <w:rPr>
          <w:rFonts w:hint="eastAsia" w:eastAsiaTheme="minorEastAsia"/>
          <w:b/>
          <w:bCs/>
          <w:sz w:val="20"/>
          <w:lang w:val="en-US" w:eastAsia="zh-CN"/>
        </w:rPr>
        <w:t>2</w:t>
      </w:r>
      <w:r>
        <w:rPr>
          <w:rFonts w:hint="eastAsia" w:eastAsiaTheme="minorEastAsia"/>
          <w:b/>
          <w:bCs/>
          <w:sz w:val="20"/>
        </w:rPr>
        <w:t>:</w:t>
      </w:r>
      <w:r>
        <w:rPr>
          <w:rFonts w:hint="eastAsia" w:eastAsiaTheme="minorEastAsia"/>
          <w:sz w:val="20"/>
        </w:rPr>
        <w:t xml:space="preserve"> to use the MU and TT value defined in Rel-17 </w:t>
      </w:r>
      <w:r>
        <w:rPr>
          <w:rFonts w:hint="eastAsia" w:eastAsiaTheme="minorEastAsia"/>
          <w:sz w:val="20"/>
          <w:lang w:eastAsia="zh-CN"/>
        </w:rPr>
        <w:t>NCR</w:t>
      </w:r>
      <w:r>
        <w:rPr>
          <w:rFonts w:hint="eastAsia" w:eastAsiaTheme="minorEastAsia"/>
          <w:sz w:val="20"/>
        </w:rPr>
        <w:t xml:space="preserve"> as </w:t>
      </w:r>
      <w:r>
        <w:rPr>
          <w:rFonts w:eastAsiaTheme="minorEastAsia"/>
          <w:sz w:val="20"/>
        </w:rPr>
        <w:t>baseline</w:t>
      </w:r>
      <w:r>
        <w:rPr>
          <w:rFonts w:hint="eastAsia" w:eastAsiaTheme="minorEastAsia"/>
          <w:sz w:val="20"/>
        </w:rPr>
        <w:t xml:space="preserve"> for NCR-Fwd type 1-C</w:t>
      </w:r>
      <w:r>
        <w:rPr>
          <w:rFonts w:hint="eastAsia" w:eastAsiaTheme="minorEastAsia"/>
          <w:sz w:val="20"/>
          <w:lang w:val="en-US" w:eastAsia="zh-CN"/>
        </w:rPr>
        <w:t>/H</w:t>
      </w:r>
      <w:r>
        <w:rPr>
          <w:rFonts w:hint="eastAsia" w:eastAsiaTheme="minorEastAsia"/>
          <w:sz w:val="20"/>
        </w:rPr>
        <w:t xml:space="preserve"> and type 2-O.</w:t>
      </w:r>
    </w:p>
    <w:p>
      <w:pPr>
        <w:spacing w:line="240" w:lineRule="auto"/>
        <w:rPr>
          <w:rFonts w:hint="eastAsia" w:eastAsiaTheme="minorEastAsia"/>
          <w:sz w:val="20"/>
          <w:lang w:val="en-US" w:eastAsia="zh-CN"/>
        </w:rPr>
      </w:pPr>
      <w:r>
        <w:rPr>
          <w:rFonts w:hint="eastAsia" w:eastAsiaTheme="minorEastAsia"/>
          <w:b/>
          <w:bCs/>
          <w:sz w:val="20"/>
          <w:lang w:val="en-US" w:eastAsia="zh-CN"/>
        </w:rPr>
        <w:t>Proposal 3:</w:t>
      </w:r>
      <w:r>
        <w:rPr>
          <w:rFonts w:hint="eastAsia" w:eastAsiaTheme="minorEastAsia"/>
          <w:sz w:val="20"/>
          <w:lang w:val="en-US" w:eastAsia="zh-CN"/>
        </w:rPr>
        <w:t xml:space="preserve"> for WA NCR-MT, MU and TT values could be reused from BS MU/TT requirement as defined in TS 38.141-1/2, however for LA NCR-MT, the test tolerance requirement could be reused from TS38.521-1/2.</w:t>
      </w:r>
    </w:p>
    <w:p>
      <w:pPr>
        <w:spacing w:line="240" w:lineRule="auto"/>
        <w:rPr>
          <w:sz w:val="20"/>
        </w:rPr>
      </w:pPr>
      <w:r>
        <w:rPr>
          <w:rFonts w:hint="eastAsia"/>
          <w:b/>
          <w:bCs w:val="0"/>
          <w:szCs w:val="20"/>
          <w:lang w:val="en-US" w:eastAsia="zh-CN"/>
        </w:rPr>
        <w:t>Proposal 4:</w:t>
      </w:r>
      <w:r>
        <w:rPr>
          <w:rFonts w:hint="eastAsia"/>
          <w:bCs/>
          <w:szCs w:val="20"/>
          <w:lang w:val="en-US" w:eastAsia="zh-CN"/>
        </w:rPr>
        <w:t xml:space="preserve"> to consider the manufacture declaration for NCR as shown in Table 2.3.1 and Table 2.3.2 as starting point. </w:t>
      </w:r>
    </w:p>
    <w:p>
      <w:pPr>
        <w:pStyle w:val="54"/>
        <w:tabs>
          <w:tab w:val="left" w:pos="567"/>
          <w:tab w:val="clear" w:pos="1985"/>
        </w:tabs>
        <w:adjustRightInd w:val="0"/>
        <w:ind w:left="510" w:hanging="510"/>
      </w:pPr>
      <w:r>
        <w:t>References</w:t>
      </w:r>
    </w:p>
    <w:p>
      <w:pPr>
        <w:pStyle w:val="52"/>
        <w:numPr>
          <w:ilvl w:val="0"/>
          <w:numId w:val="3"/>
        </w:numPr>
        <w:rPr>
          <w:sz w:val="20"/>
          <w:szCs w:val="20"/>
        </w:rPr>
      </w:pPr>
      <w:r>
        <w:rPr>
          <w:rFonts w:hint="eastAsia"/>
          <w:sz w:val="20"/>
          <w:szCs w:val="20"/>
        </w:rPr>
        <w:t xml:space="preserve">RP-222673, New WID on NR network-controlled </w:t>
      </w:r>
      <w:r>
        <w:rPr>
          <w:rFonts w:hint="eastAsia"/>
          <w:sz w:val="20"/>
          <w:szCs w:val="20"/>
          <w:lang w:eastAsia="zh-CN"/>
        </w:rPr>
        <w:t>NCR</w:t>
      </w:r>
      <w:r>
        <w:rPr>
          <w:rFonts w:hint="eastAsia"/>
          <w:sz w:val="20"/>
          <w:szCs w:val="20"/>
        </w:rPr>
        <w:t>, ZTE, Sanechips, Approved</w:t>
      </w:r>
    </w:p>
    <w:p>
      <w:pPr>
        <w:pStyle w:val="52"/>
        <w:numPr>
          <w:ilvl w:val="0"/>
          <w:numId w:val="3"/>
        </w:numPr>
        <w:rPr>
          <w:sz w:val="20"/>
          <w:szCs w:val="20"/>
        </w:rPr>
      </w:pPr>
      <w:r>
        <w:rPr>
          <w:rFonts w:hint="eastAsia"/>
          <w:sz w:val="20"/>
          <w:szCs w:val="20"/>
        </w:rPr>
        <w:t xml:space="preserve">TS 38.106, NR </w:t>
      </w:r>
      <w:r>
        <w:rPr>
          <w:rFonts w:hint="eastAsia"/>
          <w:sz w:val="20"/>
          <w:szCs w:val="20"/>
          <w:lang w:eastAsia="zh-CN"/>
        </w:rPr>
        <w:t>NCR</w:t>
      </w:r>
      <w:r>
        <w:rPr>
          <w:rFonts w:hint="eastAsia"/>
          <w:sz w:val="20"/>
          <w:szCs w:val="20"/>
        </w:rPr>
        <w:t xml:space="preserve"> Radio Transmission and Reception; (Release 17)</w:t>
      </w:r>
    </w:p>
    <w:p>
      <w:pPr>
        <w:pStyle w:val="52"/>
        <w:numPr>
          <w:ilvl w:val="0"/>
          <w:numId w:val="3"/>
        </w:numPr>
        <w:rPr>
          <w:sz w:val="20"/>
          <w:szCs w:val="20"/>
        </w:rPr>
      </w:pPr>
      <w:r>
        <w:rPr>
          <w:sz w:val="20"/>
          <w:szCs w:val="20"/>
        </w:rPr>
        <w:t>R4-2207290</w:t>
      </w:r>
      <w:r>
        <w:rPr>
          <w:rFonts w:hint="eastAsia"/>
          <w:sz w:val="20"/>
          <w:szCs w:val="20"/>
        </w:rPr>
        <w:t xml:space="preserve">, </w:t>
      </w:r>
      <w:r>
        <w:rPr>
          <w:sz w:val="20"/>
          <w:szCs w:val="20"/>
        </w:rPr>
        <w:t xml:space="preserve">WF on </w:t>
      </w:r>
      <w:r>
        <w:rPr>
          <w:rFonts w:hint="eastAsia"/>
          <w:sz w:val="20"/>
          <w:szCs w:val="20"/>
          <w:lang w:eastAsia="zh-CN"/>
        </w:rPr>
        <w:t>NCR</w:t>
      </w:r>
      <w:r>
        <w:rPr>
          <w:sz w:val="20"/>
          <w:szCs w:val="20"/>
        </w:rPr>
        <w:t xml:space="preserve"> RF requirements</w:t>
      </w:r>
      <w:r>
        <w:rPr>
          <w:rFonts w:hint="eastAsia"/>
          <w:sz w:val="20"/>
          <w:szCs w:val="20"/>
        </w:rPr>
        <w:t>, Huawei, approved.</w:t>
      </w:r>
    </w:p>
    <w:p>
      <w:pPr>
        <w:pStyle w:val="52"/>
        <w:numPr>
          <w:ilvl w:val="0"/>
          <w:numId w:val="3"/>
        </w:numPr>
        <w:rPr>
          <w:sz w:val="20"/>
          <w:szCs w:val="20"/>
        </w:rPr>
      </w:pPr>
      <w:r>
        <w:rPr>
          <w:rFonts w:hint="eastAsia"/>
          <w:sz w:val="20"/>
          <w:szCs w:val="20"/>
        </w:rPr>
        <w:t>R4-2205030,</w:t>
      </w:r>
      <w:r>
        <w:rPr>
          <w:rFonts w:hint="eastAsia"/>
          <w:sz w:val="20"/>
          <w:szCs w:val="20"/>
          <w:lang w:eastAsia="zh-CN"/>
        </w:rPr>
        <w:t>NCR</w:t>
      </w:r>
      <w:r>
        <w:rPr>
          <w:rFonts w:hint="eastAsia"/>
          <w:sz w:val="20"/>
          <w:szCs w:val="20"/>
        </w:rPr>
        <w:t xml:space="preserve"> radiated power requirements, Ericsson, Noted</w:t>
      </w:r>
    </w:p>
    <w:p>
      <w:pPr>
        <w:pStyle w:val="52"/>
        <w:numPr>
          <w:ilvl w:val="0"/>
          <w:numId w:val="3"/>
        </w:numPr>
        <w:rPr>
          <w:sz w:val="20"/>
          <w:szCs w:val="20"/>
        </w:rPr>
      </w:pPr>
      <w:r>
        <w:rPr>
          <w:rFonts w:hint="eastAsia"/>
          <w:sz w:val="20"/>
          <w:szCs w:val="20"/>
        </w:rPr>
        <w:t>TS 38.115-2,NR;</w:t>
      </w:r>
      <w:r>
        <w:rPr>
          <w:rFonts w:hint="eastAsia"/>
          <w:sz w:val="20"/>
          <w:szCs w:val="20"/>
          <w:lang w:eastAsia="zh-CN"/>
        </w:rPr>
        <w:t>NCR</w:t>
      </w:r>
      <w:r>
        <w:rPr>
          <w:rFonts w:hint="eastAsia"/>
          <w:sz w:val="20"/>
          <w:szCs w:val="20"/>
        </w:rPr>
        <w:t xml:space="preserve"> conformance testing, Part 2: Radiated conformance testing. </w:t>
      </w:r>
    </w:p>
    <w:p>
      <w:pPr>
        <w:pStyle w:val="52"/>
        <w:numPr>
          <w:ilvl w:val="0"/>
          <w:numId w:val="3"/>
        </w:numPr>
        <w:rPr>
          <w:sz w:val="20"/>
          <w:szCs w:val="20"/>
        </w:rPr>
      </w:pPr>
      <w:r>
        <w:rPr>
          <w:rFonts w:hint="eastAsia"/>
          <w:sz w:val="20"/>
          <w:szCs w:val="20"/>
        </w:rPr>
        <w:t>TS 38.115-1,NR;</w:t>
      </w:r>
      <w:r>
        <w:rPr>
          <w:rFonts w:hint="eastAsia"/>
          <w:sz w:val="20"/>
          <w:szCs w:val="20"/>
          <w:lang w:eastAsia="zh-CN"/>
        </w:rPr>
        <w:t>NCR</w:t>
      </w:r>
      <w:r>
        <w:rPr>
          <w:rFonts w:hint="eastAsia"/>
          <w:sz w:val="20"/>
          <w:szCs w:val="20"/>
        </w:rPr>
        <w:t xml:space="preserve"> conformance testing, Part 1: Conducted conformance testing. </w:t>
      </w:r>
    </w:p>
    <w:p>
      <w:pPr>
        <w:numPr>
          <w:ilvl w:val="0"/>
          <w:numId w:val="3"/>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3"/>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3"/>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 xml:space="preserve">,Study on NR Network-controlled </w:t>
      </w:r>
      <w:r>
        <w:rPr>
          <w:rFonts w:hint="eastAsia"/>
          <w:sz w:val="20"/>
          <w:szCs w:val="20"/>
          <w:lang w:eastAsia="zh-CN"/>
        </w:rPr>
        <w:t>NCR</w:t>
      </w:r>
      <w:r>
        <w:rPr>
          <w:rFonts w:hint="eastAsia"/>
          <w:sz w:val="20"/>
          <w:szCs w:val="20"/>
        </w:rPr>
        <w:t>s</w:t>
      </w:r>
    </w:p>
    <w:p>
      <w:pPr>
        <w:numPr>
          <w:ilvl w:val="0"/>
          <w:numId w:val="3"/>
        </w:numPr>
        <w:tabs>
          <w:tab w:val="right" w:pos="10440"/>
          <w:tab w:val="right" w:pos="13323"/>
        </w:tabs>
        <w:spacing w:after="0"/>
        <w:jc w:val="left"/>
        <w:rPr>
          <w:sz w:val="20"/>
          <w:szCs w:val="20"/>
        </w:rPr>
      </w:pPr>
      <w:r>
        <w:rPr>
          <w:rFonts w:hint="eastAsia"/>
          <w:sz w:val="20"/>
          <w:szCs w:val="20"/>
        </w:rPr>
        <w:t>R4-2217512 ,Post_2nd_round_summary_[104bis-e][314]NR_netcon_</w:t>
      </w:r>
      <w:r>
        <w:rPr>
          <w:rFonts w:hint="eastAsia"/>
          <w:sz w:val="20"/>
          <w:szCs w:val="20"/>
          <w:lang w:eastAsia="zh-CN"/>
        </w:rPr>
        <w:t>NCR</w:t>
      </w:r>
      <w:r>
        <w:rPr>
          <w:rFonts w:hint="eastAsia"/>
          <w:sz w:val="20"/>
          <w:szCs w:val="20"/>
        </w:rPr>
        <w:t>, ZTE</w:t>
      </w:r>
    </w:p>
    <w:p>
      <w:pPr>
        <w:numPr>
          <w:ilvl w:val="0"/>
          <w:numId w:val="3"/>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3"/>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3"/>
        </w:numPr>
        <w:tabs>
          <w:tab w:val="right" w:pos="10440"/>
          <w:tab w:val="right" w:pos="13323"/>
        </w:tabs>
        <w:spacing w:after="0"/>
        <w:jc w:val="left"/>
        <w:rPr>
          <w:sz w:val="20"/>
          <w:szCs w:val="20"/>
        </w:rPr>
      </w:pPr>
      <w:r>
        <w:rPr>
          <w:rFonts w:hint="eastAsia"/>
          <w:sz w:val="20"/>
          <w:szCs w:val="20"/>
        </w:rPr>
        <w:t>R4-2220140 Summary for [105][314] NR_netcon_</w:t>
      </w:r>
      <w:r>
        <w:rPr>
          <w:rFonts w:hint="eastAsia"/>
          <w:sz w:val="20"/>
          <w:szCs w:val="20"/>
          <w:lang w:eastAsia="zh-CN"/>
        </w:rPr>
        <w:t>NCR</w:t>
      </w:r>
      <w:r>
        <w:rPr>
          <w:sz w:val="20"/>
          <w:szCs w:val="20"/>
        </w:rPr>
        <w:t>.</w:t>
      </w:r>
    </w:p>
    <w:p>
      <w:pPr>
        <w:numPr>
          <w:ilvl w:val="0"/>
          <w:numId w:val="3"/>
        </w:numPr>
        <w:tabs>
          <w:tab w:val="right" w:pos="10440"/>
          <w:tab w:val="right" w:pos="13323"/>
        </w:tabs>
        <w:spacing w:after="0"/>
        <w:jc w:val="left"/>
        <w:rPr>
          <w:sz w:val="20"/>
          <w:szCs w:val="20"/>
        </w:rPr>
      </w:pPr>
      <w:r>
        <w:rPr>
          <w:rFonts w:hint="eastAsia"/>
          <w:sz w:val="20"/>
          <w:szCs w:val="20"/>
        </w:rPr>
        <w:t>R4-2305933,WF on NR NCR RF conformance testing, CATT, approved.</w:t>
      </w:r>
    </w:p>
    <w:p>
      <w:pPr>
        <w:numPr>
          <w:ilvl w:val="0"/>
          <w:numId w:val="3"/>
        </w:numPr>
        <w:tabs>
          <w:tab w:val="right" w:pos="10440"/>
          <w:tab w:val="right" w:pos="13323"/>
        </w:tabs>
        <w:spacing w:after="0"/>
        <w:jc w:val="left"/>
        <w:rPr>
          <w:sz w:val="20"/>
          <w:szCs w:val="20"/>
        </w:rPr>
      </w:pPr>
      <w:r>
        <w:rPr>
          <w:rFonts w:hint="eastAsia"/>
          <w:sz w:val="20"/>
          <w:szCs w:val="20"/>
        </w:rPr>
        <w:t>R4-2309864, WF for NCR RF conformance, CATT, approved</w:t>
      </w:r>
    </w:p>
    <w:p>
      <w:pPr>
        <w:numPr>
          <w:ilvl w:val="0"/>
          <w:numId w:val="3"/>
        </w:numPr>
        <w:tabs>
          <w:tab w:val="right" w:pos="10440"/>
          <w:tab w:val="right" w:pos="13323"/>
        </w:tabs>
        <w:spacing w:after="0"/>
        <w:jc w:val="left"/>
        <w:rPr>
          <w:sz w:val="20"/>
          <w:szCs w:val="20"/>
        </w:rPr>
      </w:pPr>
      <w:r>
        <w:rPr>
          <w:rFonts w:hint="eastAsia"/>
          <w:sz w:val="20"/>
          <w:szCs w:val="20"/>
        </w:rPr>
        <w:t xml:space="preserve">R4-2313906,WF for NCR conformance testing, CATT, Approved. </w:t>
      </w:r>
    </w:p>
    <w:p>
      <w:pPr>
        <w:numPr>
          <w:ilvl w:val="0"/>
          <w:numId w:val="3"/>
        </w:numPr>
        <w:tabs>
          <w:tab w:val="right" w:pos="10440"/>
          <w:tab w:val="right" w:pos="13323"/>
        </w:tabs>
        <w:spacing w:after="0"/>
        <w:jc w:val="left"/>
        <w:rPr>
          <w:rFonts w:hint="eastAsia"/>
          <w:sz w:val="20"/>
          <w:szCs w:val="20"/>
        </w:rPr>
      </w:pPr>
      <w:bookmarkStart w:id="100" w:name="_Hlk147716679"/>
      <w:r>
        <w:rPr>
          <w:rFonts w:hint="eastAsia"/>
          <w:sz w:val="20"/>
          <w:szCs w:val="20"/>
        </w:rPr>
        <w:t>R4-2316908, WF on NCR RF conformance, CATT, Approved</w:t>
      </w:r>
    </w:p>
    <w:p>
      <w:pPr>
        <w:numPr>
          <w:ilvl w:val="0"/>
          <w:numId w:val="3"/>
        </w:numPr>
        <w:tabs>
          <w:tab w:val="right" w:pos="10440"/>
          <w:tab w:val="right" w:pos="13323"/>
        </w:tabs>
        <w:spacing w:after="0"/>
        <w:jc w:val="left"/>
        <w:rPr>
          <w:rFonts w:hint="eastAsia"/>
          <w:sz w:val="20"/>
          <w:szCs w:val="20"/>
        </w:rPr>
      </w:pPr>
      <w:r>
        <w:rPr>
          <w:rFonts w:hint="eastAsia"/>
          <w:sz w:val="20"/>
          <w:szCs w:val="20"/>
        </w:rPr>
        <w:fldChar w:fldCharType="begin"/>
      </w:r>
      <w:r>
        <w:rPr>
          <w:rFonts w:hint="eastAsia"/>
          <w:sz w:val="20"/>
          <w:szCs w:val="20"/>
        </w:rPr>
        <w:instrText xml:space="preserve"> HYPERLINK "file:///C:\\Users\\gfong\\OneDrive%20-%20Qualcomm\\Documents\\Projects\\3GPP\\RAN4\\R4_108bis%20Xiamen\\Tdocs\\R4-2315093.zip" </w:instrText>
      </w:r>
      <w:r>
        <w:rPr>
          <w:rFonts w:hint="eastAsia"/>
          <w:sz w:val="20"/>
          <w:szCs w:val="20"/>
        </w:rPr>
        <w:fldChar w:fldCharType="separate"/>
      </w:r>
      <w:r>
        <w:rPr>
          <w:rFonts w:hint="eastAsia"/>
          <w:sz w:val="20"/>
          <w:szCs w:val="20"/>
        </w:rPr>
        <w:t>R4-2315093</w:t>
      </w:r>
      <w:r>
        <w:rPr>
          <w:rFonts w:hint="eastAsia"/>
          <w:sz w:val="20"/>
          <w:szCs w:val="20"/>
        </w:rPr>
        <w:fldChar w:fldCharType="end"/>
      </w:r>
      <w:r>
        <w:rPr>
          <w:rFonts w:hint="eastAsia"/>
          <w:sz w:val="20"/>
          <w:szCs w:val="20"/>
        </w:rPr>
        <w:t>,Discussion on RF conformance testing for NCR, Noted.</w:t>
      </w:r>
      <w:bookmarkEnd w:id="100"/>
    </w:p>
    <w:p>
      <w:pPr>
        <w:numPr>
          <w:ilvl w:val="0"/>
          <w:numId w:val="3"/>
        </w:numPr>
        <w:tabs>
          <w:tab w:val="right" w:pos="10440"/>
          <w:tab w:val="right" w:pos="13323"/>
        </w:tabs>
        <w:spacing w:after="0"/>
        <w:jc w:val="left"/>
        <w:rPr>
          <w:sz w:val="20"/>
          <w:szCs w:val="20"/>
        </w:rPr>
      </w:pPr>
      <w:r>
        <w:rPr>
          <w:rFonts w:hint="eastAsia"/>
          <w:sz w:val="20"/>
          <w:szCs w:val="20"/>
        </w:rPr>
        <w:fldChar w:fldCharType="begin"/>
      </w:r>
      <w:r>
        <w:rPr>
          <w:rFonts w:hint="eastAsia"/>
          <w:sz w:val="20"/>
          <w:szCs w:val="20"/>
        </w:rPr>
        <w:instrText xml:space="preserve"> HYPERLINK "ftp://10.10.10.10/ftp/tsg_ran/WG4_Radio/TSGR4_109/Inbox/R4-2321083.zip" </w:instrText>
      </w:r>
      <w:r>
        <w:rPr>
          <w:rFonts w:hint="eastAsia"/>
          <w:sz w:val="20"/>
          <w:szCs w:val="20"/>
        </w:rPr>
        <w:fldChar w:fldCharType="separate"/>
      </w:r>
      <w:r>
        <w:rPr>
          <w:rFonts w:hint="eastAsia"/>
          <w:sz w:val="20"/>
          <w:szCs w:val="20"/>
        </w:rPr>
        <w:t>R4-2321083</w:t>
      </w:r>
      <w:r>
        <w:rPr>
          <w:rFonts w:hint="eastAsia"/>
          <w:sz w:val="20"/>
          <w:szCs w:val="20"/>
        </w:rPr>
        <w:fldChar w:fldCharType="end"/>
      </w:r>
      <w:r>
        <w:rPr>
          <w:rFonts w:hint="eastAsia"/>
          <w:sz w:val="20"/>
          <w:szCs w:val="20"/>
          <w:lang w:val="en-US" w:eastAsia="zh-CN"/>
        </w:rPr>
        <w:t xml:space="preserve">, </w:t>
      </w:r>
      <w:r>
        <w:rPr>
          <w:rFonts w:hint="eastAsia"/>
          <w:sz w:val="20"/>
          <w:szCs w:val="20"/>
        </w:rPr>
        <w:t>WF on [109][312] NR_netcon_</w:t>
      </w:r>
      <w:r>
        <w:rPr>
          <w:rFonts w:hint="eastAsia"/>
          <w:sz w:val="20"/>
          <w:szCs w:val="20"/>
          <w:lang w:eastAsia="zh-CN"/>
        </w:rPr>
        <w:t>NCR</w:t>
      </w:r>
      <w:r>
        <w:rPr>
          <w:rFonts w:hint="eastAsia"/>
          <w:sz w:val="20"/>
          <w:szCs w:val="20"/>
        </w:rPr>
        <w:t>_RFConformance</w:t>
      </w:r>
      <w:r>
        <w:rPr>
          <w:rFonts w:hint="eastAsia"/>
          <w:sz w:val="20"/>
          <w:szCs w:val="20"/>
          <w:lang w:val="en-US" w:eastAsia="zh-CN"/>
        </w:rPr>
        <w:t>, CATT, approved</w:t>
      </w:r>
      <w:r>
        <w:rPr>
          <w:rFonts w:hint="eastAsia" w:ascii="Arial" w:hAnsi="Arial" w:cs="Arial"/>
          <w:b/>
          <w:sz w:val="24"/>
          <w:lang w:val="en-US" w:eastAsia="zh-CN"/>
        </w:rPr>
        <w:t>.</w:t>
      </w:r>
    </w:p>
    <w:p>
      <w:pPr>
        <w:numPr>
          <w:ilvl w:val="255"/>
          <w:numId w:val="0"/>
        </w:num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2813"/>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126"/>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D7FCF"/>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2E45"/>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0F41"/>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AC2"/>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0EA"/>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C0F"/>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B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51"/>
    <w:rsid w:val="002E5017"/>
    <w:rsid w:val="002E5054"/>
    <w:rsid w:val="002E52C8"/>
    <w:rsid w:val="002E57E5"/>
    <w:rsid w:val="002E58D4"/>
    <w:rsid w:val="002E5A48"/>
    <w:rsid w:val="002E62E4"/>
    <w:rsid w:val="002E649B"/>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1C6"/>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6EC"/>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4D47"/>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4784"/>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DD3"/>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6E0B"/>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221"/>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AE5"/>
    <w:rsid w:val="004C3D8C"/>
    <w:rsid w:val="004C41D2"/>
    <w:rsid w:val="004C42C8"/>
    <w:rsid w:val="004C4401"/>
    <w:rsid w:val="004C4E16"/>
    <w:rsid w:val="004C4EAC"/>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225"/>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1DE9"/>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D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58D"/>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0EE3"/>
    <w:rsid w:val="005B1224"/>
    <w:rsid w:val="005B1535"/>
    <w:rsid w:val="005B15BE"/>
    <w:rsid w:val="005B198E"/>
    <w:rsid w:val="005B19F2"/>
    <w:rsid w:val="005B2970"/>
    <w:rsid w:val="005B2DCF"/>
    <w:rsid w:val="005B2E7C"/>
    <w:rsid w:val="005B2EDE"/>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421"/>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AE6"/>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11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1F3F"/>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7E8"/>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0BF"/>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701"/>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2FEC"/>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B25"/>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97B"/>
    <w:rsid w:val="008C4BF5"/>
    <w:rsid w:val="008C508A"/>
    <w:rsid w:val="008C50FC"/>
    <w:rsid w:val="008C57FD"/>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1C6"/>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90F"/>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56"/>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46"/>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16"/>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21"/>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CB2"/>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452"/>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22"/>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DF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051"/>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B"/>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1955"/>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5B8"/>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6A2"/>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900"/>
    <w:rsid w:val="00E26D23"/>
    <w:rsid w:val="00E26E2B"/>
    <w:rsid w:val="00E2731A"/>
    <w:rsid w:val="00E2735E"/>
    <w:rsid w:val="00E2756D"/>
    <w:rsid w:val="00E27DCC"/>
    <w:rsid w:val="00E3046F"/>
    <w:rsid w:val="00E30990"/>
    <w:rsid w:val="00E30AD0"/>
    <w:rsid w:val="00E30C8B"/>
    <w:rsid w:val="00E30CCE"/>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78"/>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6A6B"/>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6E6"/>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4847C1"/>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D7067B"/>
    <w:rsid w:val="01E1598F"/>
    <w:rsid w:val="01E268ED"/>
    <w:rsid w:val="01E83BF9"/>
    <w:rsid w:val="01EB414A"/>
    <w:rsid w:val="01ED0229"/>
    <w:rsid w:val="01F33D9D"/>
    <w:rsid w:val="01F60577"/>
    <w:rsid w:val="01F607BA"/>
    <w:rsid w:val="01F90861"/>
    <w:rsid w:val="01FC1FF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43A07"/>
    <w:rsid w:val="025732DD"/>
    <w:rsid w:val="025D3F73"/>
    <w:rsid w:val="0262197E"/>
    <w:rsid w:val="027035EC"/>
    <w:rsid w:val="02800F27"/>
    <w:rsid w:val="028748E0"/>
    <w:rsid w:val="02877E6A"/>
    <w:rsid w:val="02892A7A"/>
    <w:rsid w:val="028E6B72"/>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946DB"/>
    <w:rsid w:val="02DB3978"/>
    <w:rsid w:val="02DC6BBC"/>
    <w:rsid w:val="02DE12F3"/>
    <w:rsid w:val="02E012E9"/>
    <w:rsid w:val="02E12898"/>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77EE7"/>
    <w:rsid w:val="03AD4ECE"/>
    <w:rsid w:val="03AE257F"/>
    <w:rsid w:val="03B92E34"/>
    <w:rsid w:val="03BE4B83"/>
    <w:rsid w:val="03C02839"/>
    <w:rsid w:val="03C0647A"/>
    <w:rsid w:val="03C17A6A"/>
    <w:rsid w:val="03C3309F"/>
    <w:rsid w:val="03C53042"/>
    <w:rsid w:val="03C6618A"/>
    <w:rsid w:val="03CD06E1"/>
    <w:rsid w:val="03CD6E1F"/>
    <w:rsid w:val="03D21375"/>
    <w:rsid w:val="03D4427A"/>
    <w:rsid w:val="03D91A76"/>
    <w:rsid w:val="03E54642"/>
    <w:rsid w:val="03F54B29"/>
    <w:rsid w:val="03F81356"/>
    <w:rsid w:val="03F947E9"/>
    <w:rsid w:val="03F95A5E"/>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4E2259"/>
    <w:rsid w:val="04501EB6"/>
    <w:rsid w:val="0451668E"/>
    <w:rsid w:val="045835A5"/>
    <w:rsid w:val="045C0E21"/>
    <w:rsid w:val="045E1DEE"/>
    <w:rsid w:val="045F23BF"/>
    <w:rsid w:val="04605B56"/>
    <w:rsid w:val="04671100"/>
    <w:rsid w:val="046B7036"/>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1312E"/>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4F8A"/>
    <w:rsid w:val="058E6ED4"/>
    <w:rsid w:val="059156C3"/>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CF5340"/>
    <w:rsid w:val="05D019EE"/>
    <w:rsid w:val="05D16BC6"/>
    <w:rsid w:val="05DD2001"/>
    <w:rsid w:val="05DD6BFF"/>
    <w:rsid w:val="05E660EA"/>
    <w:rsid w:val="05E7242C"/>
    <w:rsid w:val="05E73462"/>
    <w:rsid w:val="05EA2B5C"/>
    <w:rsid w:val="05EB0F6A"/>
    <w:rsid w:val="05EE3B4E"/>
    <w:rsid w:val="05FA1213"/>
    <w:rsid w:val="05FC3C97"/>
    <w:rsid w:val="05FE3CC9"/>
    <w:rsid w:val="05FF3135"/>
    <w:rsid w:val="060836A6"/>
    <w:rsid w:val="060C5B07"/>
    <w:rsid w:val="060D249E"/>
    <w:rsid w:val="06111076"/>
    <w:rsid w:val="0616638D"/>
    <w:rsid w:val="062D742E"/>
    <w:rsid w:val="063237C7"/>
    <w:rsid w:val="06327DEA"/>
    <w:rsid w:val="063B08CD"/>
    <w:rsid w:val="064001EE"/>
    <w:rsid w:val="06474EFD"/>
    <w:rsid w:val="06493A8C"/>
    <w:rsid w:val="064A35EA"/>
    <w:rsid w:val="064B521E"/>
    <w:rsid w:val="064B6CD0"/>
    <w:rsid w:val="064C2727"/>
    <w:rsid w:val="06551131"/>
    <w:rsid w:val="065740AF"/>
    <w:rsid w:val="065A56A2"/>
    <w:rsid w:val="06635E6C"/>
    <w:rsid w:val="06640C87"/>
    <w:rsid w:val="0665756F"/>
    <w:rsid w:val="0669332B"/>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AF7CEF"/>
    <w:rsid w:val="06B506C7"/>
    <w:rsid w:val="06B548E2"/>
    <w:rsid w:val="06B84E6B"/>
    <w:rsid w:val="06BA7F49"/>
    <w:rsid w:val="06BB4F9D"/>
    <w:rsid w:val="06C72EBF"/>
    <w:rsid w:val="06C9247F"/>
    <w:rsid w:val="06CD3A64"/>
    <w:rsid w:val="06D04B49"/>
    <w:rsid w:val="06D1696C"/>
    <w:rsid w:val="06D67E14"/>
    <w:rsid w:val="06D77436"/>
    <w:rsid w:val="06E942DF"/>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20520"/>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65584"/>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5595"/>
    <w:rsid w:val="08DE663F"/>
    <w:rsid w:val="08E774A2"/>
    <w:rsid w:val="08F14150"/>
    <w:rsid w:val="08F5200D"/>
    <w:rsid w:val="08F6225F"/>
    <w:rsid w:val="08F911CC"/>
    <w:rsid w:val="09016732"/>
    <w:rsid w:val="0908048A"/>
    <w:rsid w:val="09127CF4"/>
    <w:rsid w:val="092234B5"/>
    <w:rsid w:val="09226860"/>
    <w:rsid w:val="092C26C9"/>
    <w:rsid w:val="092C779A"/>
    <w:rsid w:val="09334A3F"/>
    <w:rsid w:val="09340ADD"/>
    <w:rsid w:val="093D046D"/>
    <w:rsid w:val="094109B5"/>
    <w:rsid w:val="09444B9B"/>
    <w:rsid w:val="0944702B"/>
    <w:rsid w:val="094A7672"/>
    <w:rsid w:val="094F4648"/>
    <w:rsid w:val="0953050B"/>
    <w:rsid w:val="09546457"/>
    <w:rsid w:val="0958129F"/>
    <w:rsid w:val="09582472"/>
    <w:rsid w:val="095B7157"/>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3739B"/>
    <w:rsid w:val="09990EF2"/>
    <w:rsid w:val="099D22A1"/>
    <w:rsid w:val="09A545D9"/>
    <w:rsid w:val="09A64698"/>
    <w:rsid w:val="09A972AB"/>
    <w:rsid w:val="09AC5074"/>
    <w:rsid w:val="09AD07F3"/>
    <w:rsid w:val="09B14A34"/>
    <w:rsid w:val="09BA5647"/>
    <w:rsid w:val="09BE3D37"/>
    <w:rsid w:val="09C346F5"/>
    <w:rsid w:val="09CD6A58"/>
    <w:rsid w:val="09CD6EF5"/>
    <w:rsid w:val="09CE5DBB"/>
    <w:rsid w:val="09E00F01"/>
    <w:rsid w:val="09E14486"/>
    <w:rsid w:val="09E235C5"/>
    <w:rsid w:val="09E4648F"/>
    <w:rsid w:val="09EB7AE5"/>
    <w:rsid w:val="09EC6461"/>
    <w:rsid w:val="09F1407D"/>
    <w:rsid w:val="09F21427"/>
    <w:rsid w:val="09F333CA"/>
    <w:rsid w:val="09F839EB"/>
    <w:rsid w:val="09FB050B"/>
    <w:rsid w:val="09FF267E"/>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3A450B"/>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6AA0"/>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107C4"/>
    <w:rsid w:val="0B622E13"/>
    <w:rsid w:val="0B651A68"/>
    <w:rsid w:val="0B717521"/>
    <w:rsid w:val="0B7C4F64"/>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6239C"/>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0DA3"/>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50968"/>
    <w:rsid w:val="0D2767B5"/>
    <w:rsid w:val="0D2A43BD"/>
    <w:rsid w:val="0D32461A"/>
    <w:rsid w:val="0D3E327E"/>
    <w:rsid w:val="0D3F149D"/>
    <w:rsid w:val="0D3F28C5"/>
    <w:rsid w:val="0D414029"/>
    <w:rsid w:val="0D432A3E"/>
    <w:rsid w:val="0D45354F"/>
    <w:rsid w:val="0D474F00"/>
    <w:rsid w:val="0D480AA9"/>
    <w:rsid w:val="0D483B07"/>
    <w:rsid w:val="0D5800C7"/>
    <w:rsid w:val="0D596906"/>
    <w:rsid w:val="0D5B6E86"/>
    <w:rsid w:val="0D604B9B"/>
    <w:rsid w:val="0D6A353C"/>
    <w:rsid w:val="0D7B2715"/>
    <w:rsid w:val="0D826C81"/>
    <w:rsid w:val="0D904522"/>
    <w:rsid w:val="0D944488"/>
    <w:rsid w:val="0D946DB2"/>
    <w:rsid w:val="0D976014"/>
    <w:rsid w:val="0DA060E8"/>
    <w:rsid w:val="0DA27073"/>
    <w:rsid w:val="0DA337F2"/>
    <w:rsid w:val="0DA57AAE"/>
    <w:rsid w:val="0DA70310"/>
    <w:rsid w:val="0DAC6292"/>
    <w:rsid w:val="0DAC7A3A"/>
    <w:rsid w:val="0DB76EF8"/>
    <w:rsid w:val="0DBA4E56"/>
    <w:rsid w:val="0DBD08CF"/>
    <w:rsid w:val="0DBE2871"/>
    <w:rsid w:val="0DCE36F3"/>
    <w:rsid w:val="0DD621E4"/>
    <w:rsid w:val="0DD7415B"/>
    <w:rsid w:val="0DD93C4A"/>
    <w:rsid w:val="0DDD2372"/>
    <w:rsid w:val="0DDE1317"/>
    <w:rsid w:val="0DE55D4A"/>
    <w:rsid w:val="0DE6519D"/>
    <w:rsid w:val="0DE86B46"/>
    <w:rsid w:val="0DEB7343"/>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872F8"/>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BF0432"/>
    <w:rsid w:val="0EC11B24"/>
    <w:rsid w:val="0EC34A89"/>
    <w:rsid w:val="0EC468A2"/>
    <w:rsid w:val="0ECA0784"/>
    <w:rsid w:val="0ECC4066"/>
    <w:rsid w:val="0ECE7C5F"/>
    <w:rsid w:val="0ED12B32"/>
    <w:rsid w:val="0ED97A56"/>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30623"/>
    <w:rsid w:val="0F26755F"/>
    <w:rsid w:val="0F2B3FDE"/>
    <w:rsid w:val="0F3452E0"/>
    <w:rsid w:val="0F364BC2"/>
    <w:rsid w:val="0F3A630E"/>
    <w:rsid w:val="0F3B1C05"/>
    <w:rsid w:val="0F446DFF"/>
    <w:rsid w:val="0F455F85"/>
    <w:rsid w:val="0F4638EE"/>
    <w:rsid w:val="0F49564D"/>
    <w:rsid w:val="0F4D1918"/>
    <w:rsid w:val="0F5075AE"/>
    <w:rsid w:val="0F514A2D"/>
    <w:rsid w:val="0F521719"/>
    <w:rsid w:val="0F571705"/>
    <w:rsid w:val="0F584757"/>
    <w:rsid w:val="0F6476D7"/>
    <w:rsid w:val="0F65775A"/>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533CE"/>
    <w:rsid w:val="0FD95333"/>
    <w:rsid w:val="0FDA2E33"/>
    <w:rsid w:val="0FE6308F"/>
    <w:rsid w:val="0FEC322B"/>
    <w:rsid w:val="0FEC6EF6"/>
    <w:rsid w:val="0FF33CD3"/>
    <w:rsid w:val="0FF56361"/>
    <w:rsid w:val="10045EE6"/>
    <w:rsid w:val="100C1580"/>
    <w:rsid w:val="100D3B17"/>
    <w:rsid w:val="10116694"/>
    <w:rsid w:val="10131F5A"/>
    <w:rsid w:val="10154FE6"/>
    <w:rsid w:val="101D6846"/>
    <w:rsid w:val="10203AC3"/>
    <w:rsid w:val="1023666E"/>
    <w:rsid w:val="1031590F"/>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9B4D43"/>
    <w:rsid w:val="10B21F6D"/>
    <w:rsid w:val="10B53645"/>
    <w:rsid w:val="10B7486E"/>
    <w:rsid w:val="10C4287D"/>
    <w:rsid w:val="10CA6BF2"/>
    <w:rsid w:val="10CC5735"/>
    <w:rsid w:val="10D503BA"/>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B5A84"/>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51B89"/>
    <w:rsid w:val="118F37F9"/>
    <w:rsid w:val="119828A9"/>
    <w:rsid w:val="11996649"/>
    <w:rsid w:val="119E37E5"/>
    <w:rsid w:val="11AA61BD"/>
    <w:rsid w:val="11AC7561"/>
    <w:rsid w:val="11AE6531"/>
    <w:rsid w:val="11AF439E"/>
    <w:rsid w:val="11B50817"/>
    <w:rsid w:val="11B66269"/>
    <w:rsid w:val="11BA0839"/>
    <w:rsid w:val="11CA3974"/>
    <w:rsid w:val="11D43F7F"/>
    <w:rsid w:val="11E4369D"/>
    <w:rsid w:val="11EB55D0"/>
    <w:rsid w:val="11EE4F27"/>
    <w:rsid w:val="11F267E8"/>
    <w:rsid w:val="11F427FC"/>
    <w:rsid w:val="12016E51"/>
    <w:rsid w:val="120564CA"/>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663DBC"/>
    <w:rsid w:val="126E78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66ED"/>
    <w:rsid w:val="12B97F45"/>
    <w:rsid w:val="12BC3C60"/>
    <w:rsid w:val="12C1246A"/>
    <w:rsid w:val="12C667C3"/>
    <w:rsid w:val="12C77089"/>
    <w:rsid w:val="12C900DF"/>
    <w:rsid w:val="12CB4026"/>
    <w:rsid w:val="12D16C9D"/>
    <w:rsid w:val="12D20ECB"/>
    <w:rsid w:val="12D93C20"/>
    <w:rsid w:val="12DD2747"/>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15620"/>
    <w:rsid w:val="134904A6"/>
    <w:rsid w:val="135845C3"/>
    <w:rsid w:val="135F5E4E"/>
    <w:rsid w:val="13627B81"/>
    <w:rsid w:val="136A262D"/>
    <w:rsid w:val="137518F1"/>
    <w:rsid w:val="137F1B10"/>
    <w:rsid w:val="1382164E"/>
    <w:rsid w:val="13913843"/>
    <w:rsid w:val="13920C1D"/>
    <w:rsid w:val="13942D72"/>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A0061"/>
    <w:rsid w:val="13FD4FCC"/>
    <w:rsid w:val="13FE285E"/>
    <w:rsid w:val="14062979"/>
    <w:rsid w:val="14064BAE"/>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43218"/>
    <w:rsid w:val="14967B1A"/>
    <w:rsid w:val="14986118"/>
    <w:rsid w:val="149E0A7B"/>
    <w:rsid w:val="14A63D01"/>
    <w:rsid w:val="14A82A63"/>
    <w:rsid w:val="14A86EA4"/>
    <w:rsid w:val="14AC358C"/>
    <w:rsid w:val="14B76730"/>
    <w:rsid w:val="14B81951"/>
    <w:rsid w:val="14BB4849"/>
    <w:rsid w:val="14C767C8"/>
    <w:rsid w:val="14D71667"/>
    <w:rsid w:val="14DE753E"/>
    <w:rsid w:val="14EF1F14"/>
    <w:rsid w:val="14F22143"/>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52F05"/>
    <w:rsid w:val="1577577E"/>
    <w:rsid w:val="15787FE5"/>
    <w:rsid w:val="157E21FE"/>
    <w:rsid w:val="157E5AA6"/>
    <w:rsid w:val="15845391"/>
    <w:rsid w:val="1587411C"/>
    <w:rsid w:val="158F7039"/>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CF35FF"/>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1525F"/>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134E6"/>
    <w:rsid w:val="17844C56"/>
    <w:rsid w:val="17862C5F"/>
    <w:rsid w:val="17945EAE"/>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14D83"/>
    <w:rsid w:val="18420253"/>
    <w:rsid w:val="18434E38"/>
    <w:rsid w:val="18533B98"/>
    <w:rsid w:val="185A62F7"/>
    <w:rsid w:val="18632CBD"/>
    <w:rsid w:val="186634FF"/>
    <w:rsid w:val="186877CB"/>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B1B7B"/>
    <w:rsid w:val="190B63A6"/>
    <w:rsid w:val="190C0281"/>
    <w:rsid w:val="19191340"/>
    <w:rsid w:val="191A7BCC"/>
    <w:rsid w:val="191F259B"/>
    <w:rsid w:val="19200B97"/>
    <w:rsid w:val="192041CB"/>
    <w:rsid w:val="19254AA6"/>
    <w:rsid w:val="19267DCF"/>
    <w:rsid w:val="19287BE3"/>
    <w:rsid w:val="192A5704"/>
    <w:rsid w:val="192C599A"/>
    <w:rsid w:val="19354374"/>
    <w:rsid w:val="193579FD"/>
    <w:rsid w:val="193774B0"/>
    <w:rsid w:val="193B47C7"/>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0B0F4A"/>
    <w:rsid w:val="1A12223D"/>
    <w:rsid w:val="1A1942B6"/>
    <w:rsid w:val="1A1B3EA0"/>
    <w:rsid w:val="1A210157"/>
    <w:rsid w:val="1A2261CA"/>
    <w:rsid w:val="1A282FB5"/>
    <w:rsid w:val="1A2B7B36"/>
    <w:rsid w:val="1A2E773E"/>
    <w:rsid w:val="1A34038F"/>
    <w:rsid w:val="1A39320C"/>
    <w:rsid w:val="1A3F1025"/>
    <w:rsid w:val="1A444F6D"/>
    <w:rsid w:val="1A483BED"/>
    <w:rsid w:val="1A484A02"/>
    <w:rsid w:val="1A49165D"/>
    <w:rsid w:val="1A4D1CE1"/>
    <w:rsid w:val="1A514300"/>
    <w:rsid w:val="1A5613D5"/>
    <w:rsid w:val="1A5760FC"/>
    <w:rsid w:val="1A582F1E"/>
    <w:rsid w:val="1A5B0C0F"/>
    <w:rsid w:val="1A5F7253"/>
    <w:rsid w:val="1A646712"/>
    <w:rsid w:val="1A6A0EEA"/>
    <w:rsid w:val="1A6D22C8"/>
    <w:rsid w:val="1A722BB4"/>
    <w:rsid w:val="1A725418"/>
    <w:rsid w:val="1A7A2EF9"/>
    <w:rsid w:val="1A7B0EEC"/>
    <w:rsid w:val="1A7E1D3B"/>
    <w:rsid w:val="1A7E4F99"/>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D7A08"/>
    <w:rsid w:val="1AEF261E"/>
    <w:rsid w:val="1AF0350B"/>
    <w:rsid w:val="1AF06C95"/>
    <w:rsid w:val="1AF34AE5"/>
    <w:rsid w:val="1AF3712C"/>
    <w:rsid w:val="1AF84C8C"/>
    <w:rsid w:val="1AF94C4E"/>
    <w:rsid w:val="1AFB4136"/>
    <w:rsid w:val="1AFE2079"/>
    <w:rsid w:val="1B00502A"/>
    <w:rsid w:val="1B034DC2"/>
    <w:rsid w:val="1B08241D"/>
    <w:rsid w:val="1B082CC4"/>
    <w:rsid w:val="1B087DB2"/>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6101E7"/>
    <w:rsid w:val="1B726BE8"/>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4CDB"/>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CF9449D"/>
    <w:rsid w:val="1D023336"/>
    <w:rsid w:val="1D031DDA"/>
    <w:rsid w:val="1D03357C"/>
    <w:rsid w:val="1D053BD6"/>
    <w:rsid w:val="1D096A6A"/>
    <w:rsid w:val="1D0B731D"/>
    <w:rsid w:val="1D0F26EC"/>
    <w:rsid w:val="1D163C57"/>
    <w:rsid w:val="1D1D6A68"/>
    <w:rsid w:val="1D1F1D0C"/>
    <w:rsid w:val="1D2054C4"/>
    <w:rsid w:val="1D24658B"/>
    <w:rsid w:val="1D2D0AE5"/>
    <w:rsid w:val="1D2D3089"/>
    <w:rsid w:val="1D2E77E8"/>
    <w:rsid w:val="1D395943"/>
    <w:rsid w:val="1D395E48"/>
    <w:rsid w:val="1D3A4403"/>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DFF5F13"/>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21AA3"/>
    <w:rsid w:val="1EB50D64"/>
    <w:rsid w:val="1EC02650"/>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03CC1"/>
    <w:rsid w:val="1F141EF2"/>
    <w:rsid w:val="1F303EA7"/>
    <w:rsid w:val="1F30637A"/>
    <w:rsid w:val="1F3111CE"/>
    <w:rsid w:val="1F346076"/>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41156"/>
    <w:rsid w:val="1F7959F4"/>
    <w:rsid w:val="1F7C19E4"/>
    <w:rsid w:val="1F7C72E1"/>
    <w:rsid w:val="1F83562C"/>
    <w:rsid w:val="1F8416CE"/>
    <w:rsid w:val="1F880725"/>
    <w:rsid w:val="1F8A5F10"/>
    <w:rsid w:val="1F91643C"/>
    <w:rsid w:val="1F9407B6"/>
    <w:rsid w:val="1F946C87"/>
    <w:rsid w:val="1F974848"/>
    <w:rsid w:val="1F981A7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145FD"/>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0FD51D4"/>
    <w:rsid w:val="20FF33C8"/>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87D45"/>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496F44"/>
    <w:rsid w:val="23566DDF"/>
    <w:rsid w:val="23572E7E"/>
    <w:rsid w:val="235924CA"/>
    <w:rsid w:val="23592D87"/>
    <w:rsid w:val="235D14D2"/>
    <w:rsid w:val="235F162F"/>
    <w:rsid w:val="23645808"/>
    <w:rsid w:val="23673863"/>
    <w:rsid w:val="236A053E"/>
    <w:rsid w:val="236D4F13"/>
    <w:rsid w:val="2370161B"/>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815D2"/>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00BDF"/>
    <w:rsid w:val="246237F1"/>
    <w:rsid w:val="24667266"/>
    <w:rsid w:val="247170B1"/>
    <w:rsid w:val="24731A96"/>
    <w:rsid w:val="24780268"/>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D865D0"/>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20D24"/>
    <w:rsid w:val="25446429"/>
    <w:rsid w:val="254520AA"/>
    <w:rsid w:val="25467DBB"/>
    <w:rsid w:val="25473E3C"/>
    <w:rsid w:val="254C3FE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8464E"/>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D7A25"/>
    <w:rsid w:val="264F2FA3"/>
    <w:rsid w:val="26510DB8"/>
    <w:rsid w:val="26531A21"/>
    <w:rsid w:val="265E055B"/>
    <w:rsid w:val="26626905"/>
    <w:rsid w:val="26667EB2"/>
    <w:rsid w:val="266B1FB8"/>
    <w:rsid w:val="267B7FD0"/>
    <w:rsid w:val="267E518B"/>
    <w:rsid w:val="26831528"/>
    <w:rsid w:val="26872779"/>
    <w:rsid w:val="26874AF8"/>
    <w:rsid w:val="2689029B"/>
    <w:rsid w:val="268F740F"/>
    <w:rsid w:val="269331DB"/>
    <w:rsid w:val="26993F8A"/>
    <w:rsid w:val="269B3F13"/>
    <w:rsid w:val="26A17EEF"/>
    <w:rsid w:val="26A4288C"/>
    <w:rsid w:val="26A63366"/>
    <w:rsid w:val="26A968B5"/>
    <w:rsid w:val="26AC5BFD"/>
    <w:rsid w:val="26B831C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CF31FA"/>
    <w:rsid w:val="27D04EB1"/>
    <w:rsid w:val="27E81AFB"/>
    <w:rsid w:val="27FE4240"/>
    <w:rsid w:val="27FE6098"/>
    <w:rsid w:val="280008FF"/>
    <w:rsid w:val="28050D91"/>
    <w:rsid w:val="280947C4"/>
    <w:rsid w:val="281035C6"/>
    <w:rsid w:val="28140E2A"/>
    <w:rsid w:val="28251416"/>
    <w:rsid w:val="28255041"/>
    <w:rsid w:val="282F7C19"/>
    <w:rsid w:val="283832F0"/>
    <w:rsid w:val="283A1E3E"/>
    <w:rsid w:val="283C2EBF"/>
    <w:rsid w:val="284237B6"/>
    <w:rsid w:val="284543A1"/>
    <w:rsid w:val="28495E6C"/>
    <w:rsid w:val="284E5DCD"/>
    <w:rsid w:val="284F6D20"/>
    <w:rsid w:val="28553E1D"/>
    <w:rsid w:val="28585806"/>
    <w:rsid w:val="286609FD"/>
    <w:rsid w:val="28693318"/>
    <w:rsid w:val="286B3B61"/>
    <w:rsid w:val="28765DD5"/>
    <w:rsid w:val="287A3694"/>
    <w:rsid w:val="28821314"/>
    <w:rsid w:val="28846F09"/>
    <w:rsid w:val="28891F4B"/>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B14A1"/>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1F8D"/>
    <w:rsid w:val="29425246"/>
    <w:rsid w:val="2946144E"/>
    <w:rsid w:val="2946760C"/>
    <w:rsid w:val="29494977"/>
    <w:rsid w:val="29496DE2"/>
    <w:rsid w:val="294A5BC8"/>
    <w:rsid w:val="294B5866"/>
    <w:rsid w:val="29504176"/>
    <w:rsid w:val="29634AD4"/>
    <w:rsid w:val="296656BC"/>
    <w:rsid w:val="296865F6"/>
    <w:rsid w:val="296B20A7"/>
    <w:rsid w:val="297954BE"/>
    <w:rsid w:val="297D1A8B"/>
    <w:rsid w:val="298725AA"/>
    <w:rsid w:val="298B5996"/>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655E0"/>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2E1D44"/>
    <w:rsid w:val="2A3056F6"/>
    <w:rsid w:val="2A355535"/>
    <w:rsid w:val="2A3B063B"/>
    <w:rsid w:val="2A3B20B0"/>
    <w:rsid w:val="2A4467DF"/>
    <w:rsid w:val="2A477687"/>
    <w:rsid w:val="2A49761F"/>
    <w:rsid w:val="2A4C74B8"/>
    <w:rsid w:val="2A4F49D1"/>
    <w:rsid w:val="2A500712"/>
    <w:rsid w:val="2A5F2A54"/>
    <w:rsid w:val="2A601647"/>
    <w:rsid w:val="2A627A42"/>
    <w:rsid w:val="2A630308"/>
    <w:rsid w:val="2A676AD0"/>
    <w:rsid w:val="2A687AA6"/>
    <w:rsid w:val="2A6A2073"/>
    <w:rsid w:val="2A7477E7"/>
    <w:rsid w:val="2A770CC7"/>
    <w:rsid w:val="2A7A022E"/>
    <w:rsid w:val="2A8A27A6"/>
    <w:rsid w:val="2A8B1FCC"/>
    <w:rsid w:val="2A8B484F"/>
    <w:rsid w:val="2A8E2180"/>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2660C"/>
    <w:rsid w:val="2B592A46"/>
    <w:rsid w:val="2B5B7165"/>
    <w:rsid w:val="2B611B55"/>
    <w:rsid w:val="2B686C09"/>
    <w:rsid w:val="2B766EF3"/>
    <w:rsid w:val="2B795BD8"/>
    <w:rsid w:val="2B7A5F5F"/>
    <w:rsid w:val="2B8759DF"/>
    <w:rsid w:val="2B89625F"/>
    <w:rsid w:val="2B8B34AB"/>
    <w:rsid w:val="2B914C5E"/>
    <w:rsid w:val="2BA23A0B"/>
    <w:rsid w:val="2BA252E6"/>
    <w:rsid w:val="2BAA2799"/>
    <w:rsid w:val="2BAB244E"/>
    <w:rsid w:val="2BB44220"/>
    <w:rsid w:val="2BB61EA7"/>
    <w:rsid w:val="2BB84496"/>
    <w:rsid w:val="2BB95D42"/>
    <w:rsid w:val="2BBA6EF5"/>
    <w:rsid w:val="2BC03979"/>
    <w:rsid w:val="2BC941AF"/>
    <w:rsid w:val="2BCC5CCB"/>
    <w:rsid w:val="2BD53088"/>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3F712F"/>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76A32"/>
    <w:rsid w:val="2CB92D8C"/>
    <w:rsid w:val="2CBA08C0"/>
    <w:rsid w:val="2CBC4209"/>
    <w:rsid w:val="2CC12D54"/>
    <w:rsid w:val="2CC302C7"/>
    <w:rsid w:val="2CC51E7C"/>
    <w:rsid w:val="2CC9742A"/>
    <w:rsid w:val="2CCB3003"/>
    <w:rsid w:val="2CD14391"/>
    <w:rsid w:val="2CD348F2"/>
    <w:rsid w:val="2CDA4FDA"/>
    <w:rsid w:val="2CDC7091"/>
    <w:rsid w:val="2CDE48AF"/>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377BD9"/>
    <w:rsid w:val="2D400A9F"/>
    <w:rsid w:val="2D5058E5"/>
    <w:rsid w:val="2D525743"/>
    <w:rsid w:val="2D540857"/>
    <w:rsid w:val="2D590555"/>
    <w:rsid w:val="2D655DEF"/>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2B7C"/>
    <w:rsid w:val="2F4A545C"/>
    <w:rsid w:val="2F4B7821"/>
    <w:rsid w:val="2F521338"/>
    <w:rsid w:val="2F526911"/>
    <w:rsid w:val="2F54485C"/>
    <w:rsid w:val="2F5741FD"/>
    <w:rsid w:val="2F57587A"/>
    <w:rsid w:val="2F5E1A24"/>
    <w:rsid w:val="2F615954"/>
    <w:rsid w:val="2F6D553E"/>
    <w:rsid w:val="2F712CF7"/>
    <w:rsid w:val="2F7803D5"/>
    <w:rsid w:val="2F805714"/>
    <w:rsid w:val="2F845955"/>
    <w:rsid w:val="2F8640C4"/>
    <w:rsid w:val="2F8B6940"/>
    <w:rsid w:val="2F8C103A"/>
    <w:rsid w:val="2F8E5F5C"/>
    <w:rsid w:val="2F921FAC"/>
    <w:rsid w:val="2F9761A6"/>
    <w:rsid w:val="2F9947FD"/>
    <w:rsid w:val="2F9C26A3"/>
    <w:rsid w:val="2FA21231"/>
    <w:rsid w:val="2FAD4759"/>
    <w:rsid w:val="2FAD5866"/>
    <w:rsid w:val="2FB574DB"/>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52EEE"/>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CC5614"/>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90411"/>
    <w:rsid w:val="31197ABC"/>
    <w:rsid w:val="311D3FA8"/>
    <w:rsid w:val="311D5B14"/>
    <w:rsid w:val="31206B75"/>
    <w:rsid w:val="312523DC"/>
    <w:rsid w:val="3129246F"/>
    <w:rsid w:val="312D1F98"/>
    <w:rsid w:val="31331EC5"/>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450F3"/>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7F5333"/>
    <w:rsid w:val="32894FDB"/>
    <w:rsid w:val="328C6670"/>
    <w:rsid w:val="32913845"/>
    <w:rsid w:val="32946A84"/>
    <w:rsid w:val="32B22C9D"/>
    <w:rsid w:val="32BC6631"/>
    <w:rsid w:val="32BD3D2C"/>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5F7CF3"/>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250E2"/>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310CA"/>
    <w:rsid w:val="34E55171"/>
    <w:rsid w:val="34E972FC"/>
    <w:rsid w:val="34EF54BB"/>
    <w:rsid w:val="34F24587"/>
    <w:rsid w:val="34F327B8"/>
    <w:rsid w:val="34F36496"/>
    <w:rsid w:val="34F83EF3"/>
    <w:rsid w:val="34F953E0"/>
    <w:rsid w:val="34FF2166"/>
    <w:rsid w:val="350518D8"/>
    <w:rsid w:val="350756C5"/>
    <w:rsid w:val="350B69C5"/>
    <w:rsid w:val="35134AC0"/>
    <w:rsid w:val="351776FC"/>
    <w:rsid w:val="351C075B"/>
    <w:rsid w:val="351C1A9F"/>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96BCD"/>
    <w:rsid w:val="361A2F27"/>
    <w:rsid w:val="36265F04"/>
    <w:rsid w:val="36266913"/>
    <w:rsid w:val="36297754"/>
    <w:rsid w:val="362D52AE"/>
    <w:rsid w:val="362F267A"/>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604FD"/>
    <w:rsid w:val="36991125"/>
    <w:rsid w:val="36A312B2"/>
    <w:rsid w:val="36A6713A"/>
    <w:rsid w:val="36A82F6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55BE7"/>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00BF8"/>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8FC4168"/>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C3FCE"/>
    <w:rsid w:val="397E700C"/>
    <w:rsid w:val="39831AAD"/>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DD5A24"/>
    <w:rsid w:val="39DF20A9"/>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B42F3"/>
    <w:rsid w:val="3A3F749B"/>
    <w:rsid w:val="3A443D4B"/>
    <w:rsid w:val="3A4641D2"/>
    <w:rsid w:val="3A4D381F"/>
    <w:rsid w:val="3A616CAD"/>
    <w:rsid w:val="3A681105"/>
    <w:rsid w:val="3A711C68"/>
    <w:rsid w:val="3A7927E8"/>
    <w:rsid w:val="3A796E46"/>
    <w:rsid w:val="3A80504B"/>
    <w:rsid w:val="3A8B3C77"/>
    <w:rsid w:val="3A8C63A0"/>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ED3AB7"/>
    <w:rsid w:val="3AF932C9"/>
    <w:rsid w:val="3AFD37D0"/>
    <w:rsid w:val="3B016EE9"/>
    <w:rsid w:val="3B075C4E"/>
    <w:rsid w:val="3B0A2CC0"/>
    <w:rsid w:val="3B0C64CB"/>
    <w:rsid w:val="3B0C7A7D"/>
    <w:rsid w:val="3B0D67FF"/>
    <w:rsid w:val="3B0E6B93"/>
    <w:rsid w:val="3B130528"/>
    <w:rsid w:val="3B1703B9"/>
    <w:rsid w:val="3B1B0093"/>
    <w:rsid w:val="3B2356A8"/>
    <w:rsid w:val="3B2609F3"/>
    <w:rsid w:val="3B2D161A"/>
    <w:rsid w:val="3B2D2213"/>
    <w:rsid w:val="3B3A132E"/>
    <w:rsid w:val="3B456D7F"/>
    <w:rsid w:val="3B5A2450"/>
    <w:rsid w:val="3B5E16D0"/>
    <w:rsid w:val="3B5E261D"/>
    <w:rsid w:val="3B5F14B4"/>
    <w:rsid w:val="3B616FBE"/>
    <w:rsid w:val="3B624143"/>
    <w:rsid w:val="3B683A4D"/>
    <w:rsid w:val="3B6A3CF4"/>
    <w:rsid w:val="3B6D5AE8"/>
    <w:rsid w:val="3B6F5B73"/>
    <w:rsid w:val="3B70725E"/>
    <w:rsid w:val="3B714282"/>
    <w:rsid w:val="3B790FFB"/>
    <w:rsid w:val="3B7B1D0B"/>
    <w:rsid w:val="3B823850"/>
    <w:rsid w:val="3B850B78"/>
    <w:rsid w:val="3B873119"/>
    <w:rsid w:val="3B893785"/>
    <w:rsid w:val="3B8A5FE8"/>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46910"/>
    <w:rsid w:val="3BFA10FC"/>
    <w:rsid w:val="3BFF3C23"/>
    <w:rsid w:val="3C026A78"/>
    <w:rsid w:val="3C032713"/>
    <w:rsid w:val="3C042946"/>
    <w:rsid w:val="3C070D59"/>
    <w:rsid w:val="3C074961"/>
    <w:rsid w:val="3C085F33"/>
    <w:rsid w:val="3C0E09BE"/>
    <w:rsid w:val="3C0F1954"/>
    <w:rsid w:val="3C0F2C3D"/>
    <w:rsid w:val="3C1071B6"/>
    <w:rsid w:val="3C1D4A8D"/>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1396"/>
    <w:rsid w:val="3C49796D"/>
    <w:rsid w:val="3C4C48E1"/>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AF62AA"/>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01723"/>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3786D"/>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03A35"/>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8F5A70"/>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17DDA"/>
    <w:rsid w:val="3F2771DB"/>
    <w:rsid w:val="3F2A3A7B"/>
    <w:rsid w:val="3F2B184D"/>
    <w:rsid w:val="3F2C7646"/>
    <w:rsid w:val="3F31720A"/>
    <w:rsid w:val="3F397780"/>
    <w:rsid w:val="3F421D47"/>
    <w:rsid w:val="3F431A48"/>
    <w:rsid w:val="3F437686"/>
    <w:rsid w:val="3F440DE0"/>
    <w:rsid w:val="3F441B08"/>
    <w:rsid w:val="3F4A4087"/>
    <w:rsid w:val="3F5361F5"/>
    <w:rsid w:val="3F6B3632"/>
    <w:rsid w:val="3F6F3571"/>
    <w:rsid w:val="3F7254BE"/>
    <w:rsid w:val="3F761F16"/>
    <w:rsid w:val="3F776E0A"/>
    <w:rsid w:val="3F80572A"/>
    <w:rsid w:val="3F85288C"/>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8F259B"/>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62470"/>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358AA"/>
    <w:rsid w:val="417727AB"/>
    <w:rsid w:val="417F7393"/>
    <w:rsid w:val="41800377"/>
    <w:rsid w:val="41804025"/>
    <w:rsid w:val="418B26ED"/>
    <w:rsid w:val="41921859"/>
    <w:rsid w:val="41924515"/>
    <w:rsid w:val="41931531"/>
    <w:rsid w:val="41936C1E"/>
    <w:rsid w:val="41986119"/>
    <w:rsid w:val="419B3B43"/>
    <w:rsid w:val="41A63744"/>
    <w:rsid w:val="41A727D9"/>
    <w:rsid w:val="41A7330E"/>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0B292F"/>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C0EF0"/>
    <w:rsid w:val="426D68CB"/>
    <w:rsid w:val="427034C5"/>
    <w:rsid w:val="42730E0D"/>
    <w:rsid w:val="427409B9"/>
    <w:rsid w:val="42763DA8"/>
    <w:rsid w:val="427C0175"/>
    <w:rsid w:val="427E7D46"/>
    <w:rsid w:val="42831021"/>
    <w:rsid w:val="42863926"/>
    <w:rsid w:val="42867D6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872DA"/>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C275F"/>
    <w:rsid w:val="43BF0BE7"/>
    <w:rsid w:val="43C0281C"/>
    <w:rsid w:val="43C02B26"/>
    <w:rsid w:val="43C558E3"/>
    <w:rsid w:val="43CF5ECD"/>
    <w:rsid w:val="43D10A40"/>
    <w:rsid w:val="43D53F66"/>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34FC9"/>
    <w:rsid w:val="444A281C"/>
    <w:rsid w:val="444E22EA"/>
    <w:rsid w:val="445138B5"/>
    <w:rsid w:val="44524CDA"/>
    <w:rsid w:val="44584267"/>
    <w:rsid w:val="446215FA"/>
    <w:rsid w:val="44703995"/>
    <w:rsid w:val="44705173"/>
    <w:rsid w:val="44740841"/>
    <w:rsid w:val="4476407C"/>
    <w:rsid w:val="447B4A66"/>
    <w:rsid w:val="447D4136"/>
    <w:rsid w:val="448A512C"/>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803D3"/>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D2C39"/>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AC1597"/>
    <w:rsid w:val="45B13412"/>
    <w:rsid w:val="45B315CE"/>
    <w:rsid w:val="45B64B84"/>
    <w:rsid w:val="45B80788"/>
    <w:rsid w:val="45BF593A"/>
    <w:rsid w:val="45E37678"/>
    <w:rsid w:val="45E5049F"/>
    <w:rsid w:val="45E526A6"/>
    <w:rsid w:val="45E56E31"/>
    <w:rsid w:val="45E66893"/>
    <w:rsid w:val="45E826B2"/>
    <w:rsid w:val="45F4334C"/>
    <w:rsid w:val="460D3781"/>
    <w:rsid w:val="462563C8"/>
    <w:rsid w:val="46257C31"/>
    <w:rsid w:val="462A548D"/>
    <w:rsid w:val="46365246"/>
    <w:rsid w:val="46430942"/>
    <w:rsid w:val="46466453"/>
    <w:rsid w:val="464871AD"/>
    <w:rsid w:val="465918B0"/>
    <w:rsid w:val="46600104"/>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1A24"/>
    <w:rsid w:val="46A82992"/>
    <w:rsid w:val="46AD7A54"/>
    <w:rsid w:val="46AE50EE"/>
    <w:rsid w:val="46B134DD"/>
    <w:rsid w:val="46B419BE"/>
    <w:rsid w:val="46B640D3"/>
    <w:rsid w:val="46BC2AAA"/>
    <w:rsid w:val="46CD1F17"/>
    <w:rsid w:val="46D1046A"/>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1167C"/>
    <w:rsid w:val="47333B1B"/>
    <w:rsid w:val="47344AF7"/>
    <w:rsid w:val="47351654"/>
    <w:rsid w:val="47362A09"/>
    <w:rsid w:val="47364741"/>
    <w:rsid w:val="473D0BD8"/>
    <w:rsid w:val="473D51BA"/>
    <w:rsid w:val="473F647F"/>
    <w:rsid w:val="47457188"/>
    <w:rsid w:val="47644CFB"/>
    <w:rsid w:val="47666951"/>
    <w:rsid w:val="47683159"/>
    <w:rsid w:val="476A7D07"/>
    <w:rsid w:val="477D3DDA"/>
    <w:rsid w:val="477E252C"/>
    <w:rsid w:val="478756F3"/>
    <w:rsid w:val="478E4501"/>
    <w:rsid w:val="479766B4"/>
    <w:rsid w:val="479A472B"/>
    <w:rsid w:val="479D7800"/>
    <w:rsid w:val="47A240A4"/>
    <w:rsid w:val="47A554A0"/>
    <w:rsid w:val="47A74C9E"/>
    <w:rsid w:val="47AA1593"/>
    <w:rsid w:val="47AB2AB0"/>
    <w:rsid w:val="47B44BED"/>
    <w:rsid w:val="47BC3466"/>
    <w:rsid w:val="47BD6C2D"/>
    <w:rsid w:val="47C764A1"/>
    <w:rsid w:val="47D537DB"/>
    <w:rsid w:val="47D730B6"/>
    <w:rsid w:val="47DD57E2"/>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6B87"/>
    <w:rsid w:val="482D7E9D"/>
    <w:rsid w:val="483C2A8C"/>
    <w:rsid w:val="483D5519"/>
    <w:rsid w:val="483F1B2F"/>
    <w:rsid w:val="48424FA1"/>
    <w:rsid w:val="484476AE"/>
    <w:rsid w:val="484647AE"/>
    <w:rsid w:val="484F1901"/>
    <w:rsid w:val="484F3992"/>
    <w:rsid w:val="484F781F"/>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87FEA"/>
    <w:rsid w:val="49ED271F"/>
    <w:rsid w:val="49FC2EF1"/>
    <w:rsid w:val="49FD1193"/>
    <w:rsid w:val="4A0573EC"/>
    <w:rsid w:val="4A06116C"/>
    <w:rsid w:val="4A070E8E"/>
    <w:rsid w:val="4A09499E"/>
    <w:rsid w:val="4A12710F"/>
    <w:rsid w:val="4A20357A"/>
    <w:rsid w:val="4A246E96"/>
    <w:rsid w:val="4A293CE8"/>
    <w:rsid w:val="4A2E7749"/>
    <w:rsid w:val="4A3508AB"/>
    <w:rsid w:val="4A36434E"/>
    <w:rsid w:val="4A381BA6"/>
    <w:rsid w:val="4A3926E2"/>
    <w:rsid w:val="4A4172CE"/>
    <w:rsid w:val="4A43236C"/>
    <w:rsid w:val="4A457037"/>
    <w:rsid w:val="4A4A176A"/>
    <w:rsid w:val="4A4B7BA8"/>
    <w:rsid w:val="4A4C44FB"/>
    <w:rsid w:val="4A4E0331"/>
    <w:rsid w:val="4A534826"/>
    <w:rsid w:val="4A5370A6"/>
    <w:rsid w:val="4A542F98"/>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76A6C"/>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13EE7"/>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708CF"/>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872CF"/>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3243E"/>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CC0CC1"/>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143"/>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2738B"/>
    <w:rsid w:val="50E43AA4"/>
    <w:rsid w:val="50E63519"/>
    <w:rsid w:val="50E91F61"/>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5F71C0"/>
    <w:rsid w:val="5161698E"/>
    <w:rsid w:val="51662699"/>
    <w:rsid w:val="51690341"/>
    <w:rsid w:val="51735A2F"/>
    <w:rsid w:val="51793BF6"/>
    <w:rsid w:val="517C0CA0"/>
    <w:rsid w:val="517F00BC"/>
    <w:rsid w:val="518448CB"/>
    <w:rsid w:val="5188076F"/>
    <w:rsid w:val="518E3B41"/>
    <w:rsid w:val="5195533B"/>
    <w:rsid w:val="519645E3"/>
    <w:rsid w:val="5199124A"/>
    <w:rsid w:val="519A2C42"/>
    <w:rsid w:val="519C5619"/>
    <w:rsid w:val="519D2F03"/>
    <w:rsid w:val="51A27384"/>
    <w:rsid w:val="51AD2653"/>
    <w:rsid w:val="51AD6F40"/>
    <w:rsid w:val="51AE38FA"/>
    <w:rsid w:val="51B268B4"/>
    <w:rsid w:val="51BE2EAE"/>
    <w:rsid w:val="51C0716E"/>
    <w:rsid w:val="51C24631"/>
    <w:rsid w:val="51D15C0F"/>
    <w:rsid w:val="51D43598"/>
    <w:rsid w:val="51DA51E8"/>
    <w:rsid w:val="51DA5890"/>
    <w:rsid w:val="51DF2B48"/>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3D6394"/>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A464CD"/>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0037E"/>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9A0144"/>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352C13"/>
    <w:rsid w:val="54450EF5"/>
    <w:rsid w:val="544670EC"/>
    <w:rsid w:val="544E03E5"/>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A106D"/>
    <w:rsid w:val="549C6534"/>
    <w:rsid w:val="549C7C40"/>
    <w:rsid w:val="54A14490"/>
    <w:rsid w:val="54A153FA"/>
    <w:rsid w:val="54A71FED"/>
    <w:rsid w:val="54AA25EA"/>
    <w:rsid w:val="54AB29C5"/>
    <w:rsid w:val="54AB36A1"/>
    <w:rsid w:val="54B171C4"/>
    <w:rsid w:val="54B25795"/>
    <w:rsid w:val="54B61DA8"/>
    <w:rsid w:val="54B62C99"/>
    <w:rsid w:val="54CC47C4"/>
    <w:rsid w:val="54D85506"/>
    <w:rsid w:val="54DF688B"/>
    <w:rsid w:val="54E30614"/>
    <w:rsid w:val="54E5025A"/>
    <w:rsid w:val="54E95643"/>
    <w:rsid w:val="54F26B12"/>
    <w:rsid w:val="54F464FA"/>
    <w:rsid w:val="54FA4BDB"/>
    <w:rsid w:val="55005D51"/>
    <w:rsid w:val="550E6C32"/>
    <w:rsid w:val="551A18E3"/>
    <w:rsid w:val="551A38ED"/>
    <w:rsid w:val="551C2E90"/>
    <w:rsid w:val="5522708D"/>
    <w:rsid w:val="552418F6"/>
    <w:rsid w:val="55263F67"/>
    <w:rsid w:val="55267E1C"/>
    <w:rsid w:val="552A08A4"/>
    <w:rsid w:val="552B4E30"/>
    <w:rsid w:val="55390890"/>
    <w:rsid w:val="55422B81"/>
    <w:rsid w:val="55487C3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22B4"/>
    <w:rsid w:val="55FF481A"/>
    <w:rsid w:val="56042F65"/>
    <w:rsid w:val="560469FC"/>
    <w:rsid w:val="5609174E"/>
    <w:rsid w:val="560D3D62"/>
    <w:rsid w:val="561A0E34"/>
    <w:rsid w:val="561B3F3E"/>
    <w:rsid w:val="561D2B59"/>
    <w:rsid w:val="56214A7B"/>
    <w:rsid w:val="562E1F90"/>
    <w:rsid w:val="56340F77"/>
    <w:rsid w:val="56346FD2"/>
    <w:rsid w:val="56363A74"/>
    <w:rsid w:val="56373380"/>
    <w:rsid w:val="56397201"/>
    <w:rsid w:val="563B616D"/>
    <w:rsid w:val="56436207"/>
    <w:rsid w:val="56456373"/>
    <w:rsid w:val="564939C2"/>
    <w:rsid w:val="564B5CD9"/>
    <w:rsid w:val="56595094"/>
    <w:rsid w:val="565A146E"/>
    <w:rsid w:val="565B61BB"/>
    <w:rsid w:val="566510CB"/>
    <w:rsid w:val="566625DA"/>
    <w:rsid w:val="567215D4"/>
    <w:rsid w:val="56730E56"/>
    <w:rsid w:val="567A6CC0"/>
    <w:rsid w:val="567E4F7B"/>
    <w:rsid w:val="5681390F"/>
    <w:rsid w:val="56880496"/>
    <w:rsid w:val="56893D47"/>
    <w:rsid w:val="568B546B"/>
    <w:rsid w:val="568C3A82"/>
    <w:rsid w:val="568D0940"/>
    <w:rsid w:val="568E688D"/>
    <w:rsid w:val="56902B88"/>
    <w:rsid w:val="56927DA4"/>
    <w:rsid w:val="569B7806"/>
    <w:rsid w:val="56A032E3"/>
    <w:rsid w:val="56A04928"/>
    <w:rsid w:val="56A06F87"/>
    <w:rsid w:val="56A409FA"/>
    <w:rsid w:val="56A418DC"/>
    <w:rsid w:val="56A50EBB"/>
    <w:rsid w:val="56A52262"/>
    <w:rsid w:val="56A734EA"/>
    <w:rsid w:val="56A83AE3"/>
    <w:rsid w:val="56AB6535"/>
    <w:rsid w:val="56AD05C9"/>
    <w:rsid w:val="56AD339E"/>
    <w:rsid w:val="56AE512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A3F80"/>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16A2C"/>
    <w:rsid w:val="5803475B"/>
    <w:rsid w:val="580A6FBE"/>
    <w:rsid w:val="580F5BC1"/>
    <w:rsid w:val="5810332E"/>
    <w:rsid w:val="581477EE"/>
    <w:rsid w:val="58153B58"/>
    <w:rsid w:val="5822786C"/>
    <w:rsid w:val="58243371"/>
    <w:rsid w:val="58243C2D"/>
    <w:rsid w:val="58293CFC"/>
    <w:rsid w:val="58302962"/>
    <w:rsid w:val="5835010B"/>
    <w:rsid w:val="5835691E"/>
    <w:rsid w:val="58457559"/>
    <w:rsid w:val="5846366F"/>
    <w:rsid w:val="584654C9"/>
    <w:rsid w:val="58470241"/>
    <w:rsid w:val="58484F55"/>
    <w:rsid w:val="584F1AE8"/>
    <w:rsid w:val="58563BF0"/>
    <w:rsid w:val="58590DD2"/>
    <w:rsid w:val="5863473D"/>
    <w:rsid w:val="586C2A31"/>
    <w:rsid w:val="586E1447"/>
    <w:rsid w:val="58762951"/>
    <w:rsid w:val="5878285F"/>
    <w:rsid w:val="587E2D46"/>
    <w:rsid w:val="588509DD"/>
    <w:rsid w:val="58851D3E"/>
    <w:rsid w:val="588D555E"/>
    <w:rsid w:val="58920EA7"/>
    <w:rsid w:val="58937684"/>
    <w:rsid w:val="58953B9F"/>
    <w:rsid w:val="58957A8C"/>
    <w:rsid w:val="589C0BA1"/>
    <w:rsid w:val="589F18E4"/>
    <w:rsid w:val="58A26665"/>
    <w:rsid w:val="58A948C8"/>
    <w:rsid w:val="58AA6502"/>
    <w:rsid w:val="58AB4505"/>
    <w:rsid w:val="58B156C4"/>
    <w:rsid w:val="58B267E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91A40"/>
    <w:rsid w:val="5A1D0AF2"/>
    <w:rsid w:val="5A1E3580"/>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41334"/>
    <w:rsid w:val="5A9A0A66"/>
    <w:rsid w:val="5A9B1234"/>
    <w:rsid w:val="5AA10AF4"/>
    <w:rsid w:val="5AA335AF"/>
    <w:rsid w:val="5AA36E4A"/>
    <w:rsid w:val="5AA541CF"/>
    <w:rsid w:val="5AAF48E4"/>
    <w:rsid w:val="5AB00085"/>
    <w:rsid w:val="5AB96041"/>
    <w:rsid w:val="5ABC4831"/>
    <w:rsid w:val="5ABC6BFA"/>
    <w:rsid w:val="5AC0187E"/>
    <w:rsid w:val="5AC366EB"/>
    <w:rsid w:val="5AC43AE0"/>
    <w:rsid w:val="5AC4427C"/>
    <w:rsid w:val="5AD054B7"/>
    <w:rsid w:val="5AD149C0"/>
    <w:rsid w:val="5AD510F0"/>
    <w:rsid w:val="5ADB126A"/>
    <w:rsid w:val="5ADF1395"/>
    <w:rsid w:val="5AE503AE"/>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C4D89"/>
    <w:rsid w:val="5B8F287C"/>
    <w:rsid w:val="5B975E5B"/>
    <w:rsid w:val="5B9C0984"/>
    <w:rsid w:val="5B9C49FE"/>
    <w:rsid w:val="5BA31E4B"/>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EE1E2A"/>
    <w:rsid w:val="5BF23EBC"/>
    <w:rsid w:val="5BF524ED"/>
    <w:rsid w:val="5BF65E64"/>
    <w:rsid w:val="5BFB09E9"/>
    <w:rsid w:val="5BFD2608"/>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5207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0F2933"/>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235B"/>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57009"/>
    <w:rsid w:val="5E0825B2"/>
    <w:rsid w:val="5E0A6049"/>
    <w:rsid w:val="5E0F4073"/>
    <w:rsid w:val="5E156B70"/>
    <w:rsid w:val="5E1574AD"/>
    <w:rsid w:val="5E21165A"/>
    <w:rsid w:val="5E226508"/>
    <w:rsid w:val="5E2368B5"/>
    <w:rsid w:val="5E25612F"/>
    <w:rsid w:val="5E284026"/>
    <w:rsid w:val="5E344390"/>
    <w:rsid w:val="5E352EB6"/>
    <w:rsid w:val="5E353B8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9C5364"/>
    <w:rsid w:val="5EA36A9B"/>
    <w:rsid w:val="5EA648E2"/>
    <w:rsid w:val="5EA87AED"/>
    <w:rsid w:val="5EB16768"/>
    <w:rsid w:val="5EB32415"/>
    <w:rsid w:val="5EB52E6F"/>
    <w:rsid w:val="5EB955D3"/>
    <w:rsid w:val="5EBF1F0D"/>
    <w:rsid w:val="5EC11CCB"/>
    <w:rsid w:val="5EC46542"/>
    <w:rsid w:val="5EC672E9"/>
    <w:rsid w:val="5EC91A19"/>
    <w:rsid w:val="5EC94A60"/>
    <w:rsid w:val="5ED95EEE"/>
    <w:rsid w:val="5EDB251C"/>
    <w:rsid w:val="5EE012CA"/>
    <w:rsid w:val="5EE55DDE"/>
    <w:rsid w:val="5EE722AC"/>
    <w:rsid w:val="5EF04AC4"/>
    <w:rsid w:val="5EF47473"/>
    <w:rsid w:val="5EFD66FF"/>
    <w:rsid w:val="5EFE064F"/>
    <w:rsid w:val="5F016D99"/>
    <w:rsid w:val="5F02151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77803"/>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5797D"/>
    <w:rsid w:val="5FAB674F"/>
    <w:rsid w:val="5FB25387"/>
    <w:rsid w:val="5FB620C2"/>
    <w:rsid w:val="5FC242B8"/>
    <w:rsid w:val="5FC53509"/>
    <w:rsid w:val="5FD20829"/>
    <w:rsid w:val="5FD24955"/>
    <w:rsid w:val="5FE65EE8"/>
    <w:rsid w:val="5FEB0680"/>
    <w:rsid w:val="5FF27034"/>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13B63"/>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B36F3"/>
    <w:rsid w:val="611C59F7"/>
    <w:rsid w:val="611F0B09"/>
    <w:rsid w:val="6120088D"/>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E738B8"/>
    <w:rsid w:val="61F00420"/>
    <w:rsid w:val="61F3667F"/>
    <w:rsid w:val="61F43F82"/>
    <w:rsid w:val="61FB110C"/>
    <w:rsid w:val="61FC4DFE"/>
    <w:rsid w:val="6206542B"/>
    <w:rsid w:val="62085BE2"/>
    <w:rsid w:val="620B2B74"/>
    <w:rsid w:val="620D2497"/>
    <w:rsid w:val="6210415F"/>
    <w:rsid w:val="62180006"/>
    <w:rsid w:val="62185165"/>
    <w:rsid w:val="621B7362"/>
    <w:rsid w:val="621D66D4"/>
    <w:rsid w:val="621E4DD6"/>
    <w:rsid w:val="62220209"/>
    <w:rsid w:val="622E2CF4"/>
    <w:rsid w:val="622F5ABF"/>
    <w:rsid w:val="623251A9"/>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6771B"/>
    <w:rsid w:val="625812E4"/>
    <w:rsid w:val="625A29D8"/>
    <w:rsid w:val="625B2CDA"/>
    <w:rsid w:val="625B47C2"/>
    <w:rsid w:val="62622606"/>
    <w:rsid w:val="62630C6B"/>
    <w:rsid w:val="62691483"/>
    <w:rsid w:val="626D0C7C"/>
    <w:rsid w:val="627301E8"/>
    <w:rsid w:val="62771C28"/>
    <w:rsid w:val="627C1EF6"/>
    <w:rsid w:val="6280036F"/>
    <w:rsid w:val="6295194F"/>
    <w:rsid w:val="6299295E"/>
    <w:rsid w:val="629A07BC"/>
    <w:rsid w:val="629A3547"/>
    <w:rsid w:val="629D1DB7"/>
    <w:rsid w:val="62A33CA7"/>
    <w:rsid w:val="62B13A0B"/>
    <w:rsid w:val="62B53FC0"/>
    <w:rsid w:val="62B94634"/>
    <w:rsid w:val="62BA3B2B"/>
    <w:rsid w:val="62C37511"/>
    <w:rsid w:val="62C774C0"/>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0423B"/>
    <w:rsid w:val="63212420"/>
    <w:rsid w:val="632736C9"/>
    <w:rsid w:val="632936A9"/>
    <w:rsid w:val="632B5DDD"/>
    <w:rsid w:val="632F06D8"/>
    <w:rsid w:val="63302275"/>
    <w:rsid w:val="63311536"/>
    <w:rsid w:val="63317698"/>
    <w:rsid w:val="63340EAE"/>
    <w:rsid w:val="633B20D9"/>
    <w:rsid w:val="633F0555"/>
    <w:rsid w:val="63443DC2"/>
    <w:rsid w:val="634B6A95"/>
    <w:rsid w:val="634C2C04"/>
    <w:rsid w:val="634F6CB9"/>
    <w:rsid w:val="635162D4"/>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BA45EF"/>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472BD"/>
    <w:rsid w:val="640B6911"/>
    <w:rsid w:val="640C2BB6"/>
    <w:rsid w:val="6411454E"/>
    <w:rsid w:val="64134F2F"/>
    <w:rsid w:val="642326CA"/>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8270B"/>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858C2"/>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2F0E"/>
    <w:rsid w:val="66053581"/>
    <w:rsid w:val="660536D8"/>
    <w:rsid w:val="66073DB3"/>
    <w:rsid w:val="660A19B0"/>
    <w:rsid w:val="661026AA"/>
    <w:rsid w:val="661635F6"/>
    <w:rsid w:val="661C31CE"/>
    <w:rsid w:val="661D3F49"/>
    <w:rsid w:val="661E7F65"/>
    <w:rsid w:val="66213A5C"/>
    <w:rsid w:val="66240876"/>
    <w:rsid w:val="6624683A"/>
    <w:rsid w:val="66291892"/>
    <w:rsid w:val="662D2EA4"/>
    <w:rsid w:val="6631571B"/>
    <w:rsid w:val="663D054E"/>
    <w:rsid w:val="66460692"/>
    <w:rsid w:val="664935C1"/>
    <w:rsid w:val="664B7E7E"/>
    <w:rsid w:val="66580F27"/>
    <w:rsid w:val="6658158E"/>
    <w:rsid w:val="665F6889"/>
    <w:rsid w:val="6662369D"/>
    <w:rsid w:val="66631FDD"/>
    <w:rsid w:val="6671460B"/>
    <w:rsid w:val="66714BB2"/>
    <w:rsid w:val="66727620"/>
    <w:rsid w:val="66754A06"/>
    <w:rsid w:val="66763EED"/>
    <w:rsid w:val="667930F9"/>
    <w:rsid w:val="6679372B"/>
    <w:rsid w:val="667B3C56"/>
    <w:rsid w:val="668E4D3D"/>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B27AE"/>
    <w:rsid w:val="678C1D52"/>
    <w:rsid w:val="678D19D7"/>
    <w:rsid w:val="679264BD"/>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EB00DC"/>
    <w:rsid w:val="67F5522D"/>
    <w:rsid w:val="67F73BC6"/>
    <w:rsid w:val="680965F8"/>
    <w:rsid w:val="680A1784"/>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27912"/>
    <w:rsid w:val="685465AC"/>
    <w:rsid w:val="685A6CD5"/>
    <w:rsid w:val="685D17DF"/>
    <w:rsid w:val="68650339"/>
    <w:rsid w:val="68670AE1"/>
    <w:rsid w:val="68733F18"/>
    <w:rsid w:val="687442EE"/>
    <w:rsid w:val="68772A56"/>
    <w:rsid w:val="687E1768"/>
    <w:rsid w:val="688023F5"/>
    <w:rsid w:val="688158B4"/>
    <w:rsid w:val="68827694"/>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DF0AA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C3997"/>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DC6FDE"/>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9135B"/>
    <w:rsid w:val="6A2A46CE"/>
    <w:rsid w:val="6A2F521E"/>
    <w:rsid w:val="6A3A1167"/>
    <w:rsid w:val="6A3D030C"/>
    <w:rsid w:val="6A3F4FDB"/>
    <w:rsid w:val="6A416A93"/>
    <w:rsid w:val="6A474FE2"/>
    <w:rsid w:val="6A4D34F8"/>
    <w:rsid w:val="6A4E47B5"/>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C95F8A"/>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64490"/>
    <w:rsid w:val="6B8C3EF4"/>
    <w:rsid w:val="6B8D3E67"/>
    <w:rsid w:val="6B8F10F1"/>
    <w:rsid w:val="6B95396B"/>
    <w:rsid w:val="6B9D5ED6"/>
    <w:rsid w:val="6BA11DFD"/>
    <w:rsid w:val="6BAC0EF7"/>
    <w:rsid w:val="6BBB00B1"/>
    <w:rsid w:val="6BBD3E9D"/>
    <w:rsid w:val="6BBE6897"/>
    <w:rsid w:val="6BC03721"/>
    <w:rsid w:val="6BC51A97"/>
    <w:rsid w:val="6BCC01D5"/>
    <w:rsid w:val="6BCF2DCA"/>
    <w:rsid w:val="6BDD0493"/>
    <w:rsid w:val="6BDE54AC"/>
    <w:rsid w:val="6BE068F6"/>
    <w:rsid w:val="6BE072B5"/>
    <w:rsid w:val="6BEC52EB"/>
    <w:rsid w:val="6BF229CE"/>
    <w:rsid w:val="6BF25C39"/>
    <w:rsid w:val="6BF96007"/>
    <w:rsid w:val="6BFA3656"/>
    <w:rsid w:val="6C02458A"/>
    <w:rsid w:val="6C06150E"/>
    <w:rsid w:val="6C0B7DD4"/>
    <w:rsid w:val="6C155F31"/>
    <w:rsid w:val="6C206E21"/>
    <w:rsid w:val="6C263A06"/>
    <w:rsid w:val="6C2B7E54"/>
    <w:rsid w:val="6C2F0181"/>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218CA"/>
    <w:rsid w:val="6CA94419"/>
    <w:rsid w:val="6CB242A2"/>
    <w:rsid w:val="6CBB2FC8"/>
    <w:rsid w:val="6CC818AD"/>
    <w:rsid w:val="6CD31AB0"/>
    <w:rsid w:val="6CD52386"/>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4160C"/>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A30AE"/>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71528"/>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DF38B4"/>
    <w:rsid w:val="6EE939F2"/>
    <w:rsid w:val="6EEC7427"/>
    <w:rsid w:val="6F021829"/>
    <w:rsid w:val="6F0460DB"/>
    <w:rsid w:val="6F08724A"/>
    <w:rsid w:val="6F14289F"/>
    <w:rsid w:val="6F162C84"/>
    <w:rsid w:val="6F1864F4"/>
    <w:rsid w:val="6F1A5125"/>
    <w:rsid w:val="6F28474F"/>
    <w:rsid w:val="6F2B7742"/>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0D29ED"/>
    <w:rsid w:val="701458A7"/>
    <w:rsid w:val="70152C7C"/>
    <w:rsid w:val="70170F2B"/>
    <w:rsid w:val="701830B7"/>
    <w:rsid w:val="701E2FAB"/>
    <w:rsid w:val="70206C25"/>
    <w:rsid w:val="702267D2"/>
    <w:rsid w:val="70256B4B"/>
    <w:rsid w:val="702B555F"/>
    <w:rsid w:val="702D6543"/>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B378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1388"/>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0122E"/>
    <w:rsid w:val="712762EB"/>
    <w:rsid w:val="712D2ADB"/>
    <w:rsid w:val="712D4159"/>
    <w:rsid w:val="713403F7"/>
    <w:rsid w:val="71346CB6"/>
    <w:rsid w:val="7136388E"/>
    <w:rsid w:val="71381367"/>
    <w:rsid w:val="714200B6"/>
    <w:rsid w:val="71431855"/>
    <w:rsid w:val="7143374A"/>
    <w:rsid w:val="7148649A"/>
    <w:rsid w:val="714866D4"/>
    <w:rsid w:val="714C6247"/>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1B9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1357C"/>
    <w:rsid w:val="722C19CF"/>
    <w:rsid w:val="722C412B"/>
    <w:rsid w:val="722E0C7C"/>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47E05"/>
    <w:rsid w:val="72756082"/>
    <w:rsid w:val="72772BE9"/>
    <w:rsid w:val="72772DDB"/>
    <w:rsid w:val="727B2E39"/>
    <w:rsid w:val="72827328"/>
    <w:rsid w:val="72845525"/>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91B12"/>
    <w:rsid w:val="72CB1497"/>
    <w:rsid w:val="72CD45FD"/>
    <w:rsid w:val="72CE3184"/>
    <w:rsid w:val="72CE7D06"/>
    <w:rsid w:val="72CF40C2"/>
    <w:rsid w:val="72D456A5"/>
    <w:rsid w:val="72D75D28"/>
    <w:rsid w:val="72DE6E60"/>
    <w:rsid w:val="72E70D52"/>
    <w:rsid w:val="72EA6B66"/>
    <w:rsid w:val="72F42A9D"/>
    <w:rsid w:val="72FB32E0"/>
    <w:rsid w:val="72FB39EE"/>
    <w:rsid w:val="72FF6B88"/>
    <w:rsid w:val="7302733B"/>
    <w:rsid w:val="73036270"/>
    <w:rsid w:val="731649D2"/>
    <w:rsid w:val="731C28E7"/>
    <w:rsid w:val="731D6746"/>
    <w:rsid w:val="73214B7F"/>
    <w:rsid w:val="73247EDB"/>
    <w:rsid w:val="7326097A"/>
    <w:rsid w:val="732A4A9B"/>
    <w:rsid w:val="732F078A"/>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07238"/>
    <w:rsid w:val="73814AA3"/>
    <w:rsid w:val="73893467"/>
    <w:rsid w:val="738A36E1"/>
    <w:rsid w:val="73912A81"/>
    <w:rsid w:val="73970334"/>
    <w:rsid w:val="73985167"/>
    <w:rsid w:val="739B1EFF"/>
    <w:rsid w:val="739C7F6C"/>
    <w:rsid w:val="73A11729"/>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52F25"/>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3859C8"/>
    <w:rsid w:val="744642D9"/>
    <w:rsid w:val="744A0C99"/>
    <w:rsid w:val="74522D94"/>
    <w:rsid w:val="74574697"/>
    <w:rsid w:val="746A2DAC"/>
    <w:rsid w:val="746B086B"/>
    <w:rsid w:val="746C430C"/>
    <w:rsid w:val="74775754"/>
    <w:rsid w:val="74781229"/>
    <w:rsid w:val="747D438A"/>
    <w:rsid w:val="7487442A"/>
    <w:rsid w:val="74877403"/>
    <w:rsid w:val="748E2289"/>
    <w:rsid w:val="74953E89"/>
    <w:rsid w:val="749D5800"/>
    <w:rsid w:val="74A73312"/>
    <w:rsid w:val="74AA3B6E"/>
    <w:rsid w:val="74B06962"/>
    <w:rsid w:val="74B32215"/>
    <w:rsid w:val="74BC7516"/>
    <w:rsid w:val="74BD7E43"/>
    <w:rsid w:val="74C0607C"/>
    <w:rsid w:val="74C46840"/>
    <w:rsid w:val="74C61F8E"/>
    <w:rsid w:val="74C94CC6"/>
    <w:rsid w:val="74CD76A4"/>
    <w:rsid w:val="74D575AA"/>
    <w:rsid w:val="74D646E5"/>
    <w:rsid w:val="74D71DDE"/>
    <w:rsid w:val="74D75BC8"/>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5E60E5"/>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25F5"/>
    <w:rsid w:val="75E2330A"/>
    <w:rsid w:val="75E7499A"/>
    <w:rsid w:val="75ED3D90"/>
    <w:rsid w:val="75F15E6B"/>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5F1CC8"/>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CA4C09"/>
    <w:rsid w:val="76DE5DB9"/>
    <w:rsid w:val="76E97D4B"/>
    <w:rsid w:val="76ED0EF4"/>
    <w:rsid w:val="76F2295F"/>
    <w:rsid w:val="76F3755A"/>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3C0C"/>
    <w:rsid w:val="784563AF"/>
    <w:rsid w:val="7849196F"/>
    <w:rsid w:val="78591903"/>
    <w:rsid w:val="78687C7F"/>
    <w:rsid w:val="787655C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A6BAA"/>
    <w:rsid w:val="78DB52FE"/>
    <w:rsid w:val="78DC2FA9"/>
    <w:rsid w:val="78DD4939"/>
    <w:rsid w:val="78E062D1"/>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572FC"/>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1087A"/>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3632"/>
    <w:rsid w:val="79F35474"/>
    <w:rsid w:val="79FB2D0B"/>
    <w:rsid w:val="7A052E17"/>
    <w:rsid w:val="7A097B67"/>
    <w:rsid w:val="7A0E3E43"/>
    <w:rsid w:val="7A0F1525"/>
    <w:rsid w:val="7A157806"/>
    <w:rsid w:val="7A1631C9"/>
    <w:rsid w:val="7A175F3E"/>
    <w:rsid w:val="7A1F09FE"/>
    <w:rsid w:val="7A224833"/>
    <w:rsid w:val="7A262C2D"/>
    <w:rsid w:val="7A291938"/>
    <w:rsid w:val="7A3D7CC0"/>
    <w:rsid w:val="7A4006D3"/>
    <w:rsid w:val="7A400DB9"/>
    <w:rsid w:val="7A432218"/>
    <w:rsid w:val="7A487745"/>
    <w:rsid w:val="7A4A694F"/>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A7FA2"/>
    <w:rsid w:val="7B7C1A5E"/>
    <w:rsid w:val="7B7F11D8"/>
    <w:rsid w:val="7B8243BB"/>
    <w:rsid w:val="7B841287"/>
    <w:rsid w:val="7B8D0F05"/>
    <w:rsid w:val="7B9422CC"/>
    <w:rsid w:val="7BA0355D"/>
    <w:rsid w:val="7BA22D26"/>
    <w:rsid w:val="7BA521BC"/>
    <w:rsid w:val="7BA63294"/>
    <w:rsid w:val="7BAA2B37"/>
    <w:rsid w:val="7BAB7079"/>
    <w:rsid w:val="7BAE485B"/>
    <w:rsid w:val="7BAF7A0F"/>
    <w:rsid w:val="7BB145C1"/>
    <w:rsid w:val="7BB2241E"/>
    <w:rsid w:val="7BB37F9E"/>
    <w:rsid w:val="7BB61435"/>
    <w:rsid w:val="7BB85160"/>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8266C"/>
    <w:rsid w:val="7D8A7D56"/>
    <w:rsid w:val="7D8B7B11"/>
    <w:rsid w:val="7D8F5FC0"/>
    <w:rsid w:val="7DA2100B"/>
    <w:rsid w:val="7DA843EE"/>
    <w:rsid w:val="7DAB0578"/>
    <w:rsid w:val="7DAB10BD"/>
    <w:rsid w:val="7DAE6ADE"/>
    <w:rsid w:val="7DB95127"/>
    <w:rsid w:val="7DBF2E7A"/>
    <w:rsid w:val="7DC86E4A"/>
    <w:rsid w:val="7DCA4C72"/>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56C5B"/>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E06D1"/>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1E0445"/>
    <w:rsid w:val="7F2372AD"/>
    <w:rsid w:val="7F2618F3"/>
    <w:rsid w:val="7F314300"/>
    <w:rsid w:val="7F35713F"/>
    <w:rsid w:val="7F386A2C"/>
    <w:rsid w:val="7F3A44DE"/>
    <w:rsid w:val="7F3A7611"/>
    <w:rsid w:val="7F3B01C9"/>
    <w:rsid w:val="7F3D729D"/>
    <w:rsid w:val="7F4A17F6"/>
    <w:rsid w:val="7F536DE1"/>
    <w:rsid w:val="7F5B1B72"/>
    <w:rsid w:val="7F5F690E"/>
    <w:rsid w:val="7F6339F7"/>
    <w:rsid w:val="7F6C5908"/>
    <w:rsid w:val="7F7369EA"/>
    <w:rsid w:val="7F773A68"/>
    <w:rsid w:val="7F7B259E"/>
    <w:rsid w:val="7F7F40DB"/>
    <w:rsid w:val="7F8263F2"/>
    <w:rsid w:val="7F8660CD"/>
    <w:rsid w:val="7F8A2E2C"/>
    <w:rsid w:val="7F901E5C"/>
    <w:rsid w:val="7F903896"/>
    <w:rsid w:val="7F930C03"/>
    <w:rsid w:val="7F963419"/>
    <w:rsid w:val="7F996783"/>
    <w:rsid w:val="7FA069EC"/>
    <w:rsid w:val="7FBA3378"/>
    <w:rsid w:val="7FC17A73"/>
    <w:rsid w:val="7FC40702"/>
    <w:rsid w:val="7FD25613"/>
    <w:rsid w:val="7FD277AE"/>
    <w:rsid w:val="7FD307E8"/>
    <w:rsid w:val="7FD30ECE"/>
    <w:rsid w:val="7FD35B21"/>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character" w:customStyle="1" w:styleId="95">
    <w:name w:val="15"/>
    <w:basedOn w:val="25"/>
    <w:qFormat/>
    <w:uiPriority w:val="0"/>
    <w:rPr>
      <w:rFonts w:hint="default" w:ascii="Calibri" w:hAnsi="Calibri" w:cs="Calibri"/>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05118-FAA6-413B-9D4E-47633CB05DCD}">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1690</Words>
  <Characters>9635</Characters>
  <Lines>80</Lines>
  <Paragraphs>22</Paragraphs>
  <TotalTime>2</TotalTime>
  <ScaleCrop>false</ScaleCrop>
  <LinksUpToDate>false</LinksUpToDate>
  <CharactersWithSpaces>11303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2024-02-19T16:20:13Z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8B8319F09C0543A9820E634DE64CDCA4</vt:lpwstr>
  </property>
</Properties>
</file>